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1C5DB" w14:textId="77777777" w:rsidR="006E3DF0" w:rsidRPr="00223030" w:rsidRDefault="00FB51B9">
      <w:pPr>
        <w:spacing w:after="41" w:line="259" w:lineRule="auto"/>
        <w:ind w:left="0" w:firstLine="0"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sz w:val="9"/>
        </w:rPr>
        <w:t xml:space="preserve"> </w:t>
      </w:r>
    </w:p>
    <w:p w14:paraId="1C619E23" w14:textId="77777777" w:rsidR="006E3DF0" w:rsidRPr="00223030" w:rsidRDefault="00FB51B9">
      <w:pPr>
        <w:spacing w:after="54" w:line="259" w:lineRule="auto"/>
        <w:ind w:left="0" w:firstLine="0"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sz w:val="12"/>
        </w:rPr>
        <w:t xml:space="preserve"> </w:t>
      </w:r>
    </w:p>
    <w:p w14:paraId="3C6A622F" w14:textId="1725E53A" w:rsidR="006E3DF0" w:rsidRPr="00223030" w:rsidRDefault="00FB51B9" w:rsidP="00960928">
      <w:pPr>
        <w:pStyle w:val="Heading1"/>
        <w:rPr>
          <w:rFonts w:ascii="IBM Plex Sans" w:hAnsi="IBM Plex Sans"/>
          <w:b/>
          <w:color w:val="15420C"/>
        </w:rPr>
      </w:pPr>
      <w:r w:rsidRPr="00223030">
        <w:rPr>
          <w:rFonts w:ascii="IBM Plex Sans" w:hAnsi="IBM Plex Sans"/>
          <w:b/>
          <w:color w:val="15420C"/>
        </w:rPr>
        <w:t xml:space="preserve">CONTINUOUS DISCLOSURE POLICY AND PROCEDURES </w:t>
      </w:r>
    </w:p>
    <w:p w14:paraId="5845795E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sz w:val="23"/>
        </w:rPr>
        <w:t xml:space="preserve"> </w:t>
      </w:r>
    </w:p>
    <w:p w14:paraId="7C4DF23F" w14:textId="77777777" w:rsidR="006E3DF0" w:rsidRPr="00223030" w:rsidRDefault="00FB51B9" w:rsidP="00F2247E">
      <w:pPr>
        <w:pStyle w:val="Heading2"/>
        <w:spacing w:line="240" w:lineRule="auto"/>
        <w:contextualSpacing/>
        <w:rPr>
          <w:rFonts w:ascii="IBM Plex Sans" w:hAnsi="IBM Plex Sans"/>
          <w:color w:val="15420C"/>
          <w:sz w:val="24"/>
          <w:szCs w:val="24"/>
        </w:rPr>
      </w:pPr>
      <w:r w:rsidRPr="00223030">
        <w:rPr>
          <w:rFonts w:ascii="IBM Plex Sans" w:hAnsi="IBM Plex Sans"/>
          <w:color w:val="15420C"/>
          <w:sz w:val="24"/>
          <w:szCs w:val="24"/>
        </w:rPr>
        <w:t xml:space="preserve">POLICY </w:t>
      </w:r>
    </w:p>
    <w:p w14:paraId="555358B1" w14:textId="77777777" w:rsidR="006E3DF0" w:rsidRPr="00223030" w:rsidRDefault="00FB51B9" w:rsidP="00F2247E">
      <w:pPr>
        <w:spacing w:after="0" w:line="240" w:lineRule="auto"/>
        <w:ind w:left="132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b/>
          <w:sz w:val="23"/>
        </w:rPr>
        <w:t xml:space="preserve"> </w:t>
      </w:r>
    </w:p>
    <w:p w14:paraId="797E573D" w14:textId="77777777" w:rsidR="006E3DF0" w:rsidRPr="00223030" w:rsidRDefault="00FB51B9" w:rsidP="00F2247E">
      <w:pPr>
        <w:spacing w:line="240" w:lineRule="auto"/>
        <w:ind w:left="118" w:firstLine="0"/>
        <w:contextualSpacing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To ensure compliance with the </w:t>
      </w:r>
      <w:proofErr w:type="spellStart"/>
      <w:r w:rsidRPr="00223030">
        <w:rPr>
          <w:rFonts w:ascii="IBM Plex Sans" w:hAnsi="IBM Plex Sans"/>
        </w:rPr>
        <w:t>ASX</w:t>
      </w:r>
      <w:proofErr w:type="spellEnd"/>
      <w:r w:rsidRPr="00223030">
        <w:rPr>
          <w:rFonts w:ascii="IBM Plex Sans" w:hAnsi="IBM Plex Sans"/>
        </w:rPr>
        <w:t xml:space="preserve"> Listing Rule requirements in order that: </w:t>
      </w:r>
    </w:p>
    <w:p w14:paraId="7EE5B04C" w14:textId="05CCD310" w:rsidR="006E3DF0" w:rsidRPr="00223030" w:rsidRDefault="00FB51B9" w:rsidP="00CF3755">
      <w:pPr>
        <w:pStyle w:val="ListParagraph"/>
        <w:numPr>
          <w:ilvl w:val="0"/>
          <w:numId w:val="6"/>
        </w:numPr>
        <w:spacing w:after="62" w:line="240" w:lineRule="auto"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All investors have equal and timely access to material information concerning </w:t>
      </w:r>
      <w:r w:rsidR="00B54291" w:rsidRPr="00223030">
        <w:rPr>
          <w:rFonts w:ascii="IBM Plex Sans" w:hAnsi="IBM Plex Sans"/>
        </w:rPr>
        <w:t xml:space="preserve">Acumentis </w:t>
      </w:r>
      <w:r w:rsidRPr="00223030">
        <w:rPr>
          <w:rFonts w:ascii="IBM Plex Sans" w:hAnsi="IBM Plex Sans"/>
        </w:rPr>
        <w:t xml:space="preserve">including its financial position, performance, ownership &amp; governance. </w:t>
      </w:r>
    </w:p>
    <w:p w14:paraId="4CA95E9A" w14:textId="77777777" w:rsidR="006E3DF0" w:rsidRPr="00223030" w:rsidRDefault="00FB51B9" w:rsidP="00CF3755">
      <w:pPr>
        <w:pStyle w:val="ListParagraph"/>
        <w:numPr>
          <w:ilvl w:val="0"/>
          <w:numId w:val="6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Company announcements are factual &amp; presented in a clear and balanced way. </w:t>
      </w:r>
    </w:p>
    <w:p w14:paraId="189F11B0" w14:textId="77777777" w:rsidR="006E3DF0" w:rsidRPr="00223030" w:rsidRDefault="00FB51B9" w:rsidP="00CF3755">
      <w:pPr>
        <w:pStyle w:val="ListParagraph"/>
        <w:numPr>
          <w:ilvl w:val="0"/>
          <w:numId w:val="6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Balance requires disclosure of both positive and negative information. </w:t>
      </w:r>
    </w:p>
    <w:p w14:paraId="29765B50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sz w:val="23"/>
        </w:rPr>
        <w:t xml:space="preserve"> </w:t>
      </w:r>
    </w:p>
    <w:p w14:paraId="3C99E5C1" w14:textId="77777777" w:rsidR="006E3DF0" w:rsidRPr="00223030" w:rsidRDefault="00FB51B9" w:rsidP="00F2247E">
      <w:pPr>
        <w:pStyle w:val="Heading2"/>
        <w:spacing w:line="240" w:lineRule="auto"/>
        <w:ind w:left="127"/>
        <w:contextualSpacing/>
        <w:rPr>
          <w:rFonts w:ascii="IBM Plex Sans" w:hAnsi="IBM Plex Sans"/>
          <w:color w:val="15420C"/>
          <w:sz w:val="24"/>
          <w:szCs w:val="24"/>
        </w:rPr>
      </w:pPr>
      <w:r w:rsidRPr="00223030">
        <w:rPr>
          <w:rFonts w:ascii="IBM Plex Sans" w:hAnsi="IBM Plex Sans"/>
          <w:color w:val="15420C"/>
          <w:sz w:val="24"/>
          <w:szCs w:val="24"/>
        </w:rPr>
        <w:t xml:space="preserve">PROCEDURES </w:t>
      </w:r>
    </w:p>
    <w:p w14:paraId="770FE0D8" w14:textId="77777777" w:rsidR="006E3DF0" w:rsidRPr="00223030" w:rsidRDefault="00FB51B9" w:rsidP="00F2247E">
      <w:pPr>
        <w:spacing w:after="0" w:line="240" w:lineRule="auto"/>
        <w:ind w:left="132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b/>
          <w:sz w:val="23"/>
        </w:rPr>
        <w:t xml:space="preserve"> </w:t>
      </w:r>
    </w:p>
    <w:p w14:paraId="3731C677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All matters covered by the </w:t>
      </w:r>
      <w:proofErr w:type="spellStart"/>
      <w:r w:rsidRPr="00223030">
        <w:rPr>
          <w:rFonts w:ascii="IBM Plex Sans" w:hAnsi="IBM Plex Sans"/>
        </w:rPr>
        <w:t>ASX</w:t>
      </w:r>
      <w:proofErr w:type="spellEnd"/>
      <w:r w:rsidRPr="00223030">
        <w:rPr>
          <w:rFonts w:ascii="IBM Plex Sans" w:hAnsi="IBM Plex Sans"/>
        </w:rPr>
        <w:t xml:space="preserve"> Listing Rule disclosure requirements are to be disclosed immediately. </w:t>
      </w:r>
    </w:p>
    <w:p w14:paraId="0B9790C9" w14:textId="0819E096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At each meeting the Board will determine whether there are any matters requiring disclosure. </w:t>
      </w:r>
    </w:p>
    <w:p w14:paraId="509A226B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In between Board meetings all matters which the CEO or CFO consider require disclosure should be immediately discussed with the Chairman and a decision made whether disclosure is required. If disclosure is considered necessary, the views of other Board members should be ascertained, and disclosure made if so agreed. </w:t>
      </w:r>
    </w:p>
    <w:p w14:paraId="442753F0" w14:textId="77777777" w:rsidR="00F2247E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All Directors and State Directors are to be made aware of the need for compliance with the </w:t>
      </w:r>
      <w:proofErr w:type="spellStart"/>
      <w:r w:rsidRPr="00223030">
        <w:rPr>
          <w:rFonts w:ascii="IBM Plex Sans" w:hAnsi="IBM Plex Sans"/>
        </w:rPr>
        <w:t>ASX</w:t>
      </w:r>
      <w:proofErr w:type="spellEnd"/>
      <w:r w:rsidRPr="00223030">
        <w:rPr>
          <w:rFonts w:ascii="IBM Plex Sans" w:hAnsi="IBM Plex Sans"/>
        </w:rPr>
        <w:t xml:space="preserve"> Listing Rule and to rep</w:t>
      </w:r>
      <w:bookmarkStart w:id="0" w:name="_GoBack"/>
      <w:bookmarkEnd w:id="0"/>
      <w:r w:rsidRPr="00223030">
        <w:rPr>
          <w:rFonts w:ascii="IBM Plex Sans" w:hAnsi="IBM Plex Sans"/>
        </w:rPr>
        <w:t xml:space="preserve">ort any such matters to the CEO. </w:t>
      </w:r>
    </w:p>
    <w:p w14:paraId="33CBFBB3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The Board is responsible for monitoring compliance and avoiding the emergence of a false market in the company’s securities. </w:t>
      </w:r>
    </w:p>
    <w:p w14:paraId="3383CFE1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The Board, CEO, CFO &amp; State Directors are responsible for safeguarding the confidentiality of corporate information to avoid premature disclosure. </w:t>
      </w:r>
    </w:p>
    <w:p w14:paraId="62CABA03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All media contact and comment and all shareholder contact regarding confidential information will be by the CEO or Chairman. </w:t>
      </w:r>
    </w:p>
    <w:p w14:paraId="164EE5AD" w14:textId="77777777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Analysts, shareholders attending annual meetings and any other third parties are not to be given information which is not available to all shareholders. </w:t>
      </w:r>
    </w:p>
    <w:p w14:paraId="6BCDD67E" w14:textId="0C78A6B1" w:rsidR="006E3DF0" w:rsidRPr="00223030" w:rsidRDefault="00FB51B9" w:rsidP="00CF3755">
      <w:pPr>
        <w:pStyle w:val="ListParagraph"/>
        <w:numPr>
          <w:ilvl w:val="0"/>
          <w:numId w:val="7"/>
        </w:numPr>
        <w:spacing w:line="240" w:lineRule="auto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All announcements are immediately lodged on the </w:t>
      </w:r>
      <w:r w:rsidR="00B54291" w:rsidRPr="00223030">
        <w:rPr>
          <w:rFonts w:ascii="IBM Plex Sans" w:hAnsi="IBM Plex Sans"/>
        </w:rPr>
        <w:t>Acumentis</w:t>
      </w:r>
      <w:r w:rsidRPr="00223030">
        <w:rPr>
          <w:rFonts w:ascii="IBM Plex Sans" w:hAnsi="IBM Plex Sans"/>
        </w:rPr>
        <w:t xml:space="preserve"> website. </w:t>
      </w:r>
    </w:p>
    <w:p w14:paraId="52AA85E6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 </w:t>
      </w:r>
    </w:p>
    <w:p w14:paraId="72DFB892" w14:textId="77777777" w:rsidR="00F2247E" w:rsidRPr="00223030" w:rsidRDefault="00F2247E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  <w:b/>
        </w:rPr>
      </w:pPr>
      <w:r w:rsidRPr="00223030">
        <w:rPr>
          <w:rFonts w:ascii="IBM Plex Sans" w:hAnsi="IBM Plex Sans"/>
          <w:b/>
        </w:rPr>
        <w:t xml:space="preserve">APPROVED BY THE BOARD JULY 2019 </w:t>
      </w:r>
    </w:p>
    <w:p w14:paraId="0BB8A816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 </w:t>
      </w:r>
    </w:p>
    <w:p w14:paraId="46150EF6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 </w:t>
      </w:r>
    </w:p>
    <w:p w14:paraId="30EBCB56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 </w:t>
      </w:r>
    </w:p>
    <w:p w14:paraId="60E45F28" w14:textId="77777777" w:rsidR="006E3DF0" w:rsidRPr="00223030" w:rsidRDefault="006E3DF0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</w:p>
    <w:p w14:paraId="34237539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b/>
          <w:color w:val="FF0000"/>
        </w:rPr>
        <w:t xml:space="preserve"> </w:t>
      </w:r>
    </w:p>
    <w:p w14:paraId="4F54D091" w14:textId="77777777" w:rsidR="006E3DF0" w:rsidRPr="00223030" w:rsidRDefault="00FB51B9" w:rsidP="00F2247E">
      <w:pPr>
        <w:spacing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  <w:b/>
          <w:color w:val="FF0000"/>
        </w:rPr>
        <w:t xml:space="preserve"> </w:t>
      </w:r>
    </w:p>
    <w:p w14:paraId="03D221BF" w14:textId="77777777" w:rsidR="006E3DF0" w:rsidRPr="00223030" w:rsidRDefault="00FB51B9" w:rsidP="00F2247E">
      <w:pPr>
        <w:spacing w:after="375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hAnsi="IBM Plex Sans"/>
        </w:rPr>
        <w:t xml:space="preserve"> </w:t>
      </w:r>
    </w:p>
    <w:p w14:paraId="2F655269" w14:textId="77777777" w:rsidR="006E3DF0" w:rsidRPr="00223030" w:rsidRDefault="00FB51B9" w:rsidP="00F2247E">
      <w:pPr>
        <w:tabs>
          <w:tab w:val="center" w:pos="4573"/>
          <w:tab w:val="right" w:pos="8921"/>
        </w:tabs>
        <w:spacing w:before="25" w:after="0" w:line="240" w:lineRule="auto"/>
        <w:ind w:left="0" w:firstLine="0"/>
        <w:contextualSpacing/>
        <w:jc w:val="left"/>
        <w:rPr>
          <w:rFonts w:ascii="IBM Plex Sans" w:hAnsi="IBM Plex Sans"/>
        </w:rPr>
      </w:pPr>
      <w:r w:rsidRPr="00223030">
        <w:rPr>
          <w:rFonts w:ascii="IBM Plex Sans" w:eastAsia="Calibri" w:hAnsi="IBM Plex Sans" w:cs="Calibri"/>
          <w:sz w:val="21"/>
        </w:rPr>
        <w:t xml:space="preserve"> </w:t>
      </w:r>
      <w:r w:rsidRPr="00223030">
        <w:rPr>
          <w:rFonts w:ascii="IBM Plex Sans" w:eastAsia="Calibri" w:hAnsi="IBM Plex Sans" w:cs="Calibri"/>
          <w:sz w:val="21"/>
        </w:rPr>
        <w:tab/>
      </w:r>
      <w:r w:rsidRPr="00223030">
        <w:rPr>
          <w:rFonts w:ascii="IBM Plex Sans" w:hAnsi="IBM Plex Sans"/>
          <w:b/>
          <w:i/>
          <w:sz w:val="17"/>
        </w:rPr>
        <w:t xml:space="preserve"> </w:t>
      </w:r>
    </w:p>
    <w:p w14:paraId="5D175E8F" w14:textId="77777777" w:rsidR="006E3DF0" w:rsidRPr="00223030" w:rsidRDefault="00FB51B9">
      <w:pPr>
        <w:spacing w:after="0" w:line="259" w:lineRule="auto"/>
        <w:ind w:left="25" w:firstLine="0"/>
        <w:jc w:val="center"/>
        <w:rPr>
          <w:rFonts w:ascii="IBM Plex Sans" w:hAnsi="IBM Plex Sans"/>
        </w:rPr>
      </w:pPr>
      <w:r w:rsidRPr="00223030">
        <w:rPr>
          <w:rFonts w:ascii="IBM Plex Sans" w:eastAsia="Calibri" w:hAnsi="IBM Plex Sans" w:cs="Calibri"/>
          <w:b/>
          <w:sz w:val="21"/>
        </w:rPr>
        <w:t xml:space="preserve"> </w:t>
      </w:r>
    </w:p>
    <w:sectPr w:rsidR="006E3DF0" w:rsidRPr="00223030" w:rsidSect="00223030">
      <w:headerReference w:type="default" r:id="rId7"/>
      <w:footerReference w:type="default" r:id="rId8"/>
      <w:pgSz w:w="12240" w:h="15840"/>
      <w:pgMar w:top="647" w:right="1582" w:bottom="1440" w:left="1736" w:header="68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3AE36" w14:textId="77777777" w:rsidR="00604B4F" w:rsidRDefault="00604B4F" w:rsidP="00F2247E">
      <w:pPr>
        <w:spacing w:after="0" w:line="240" w:lineRule="auto"/>
      </w:pPr>
      <w:r>
        <w:separator/>
      </w:r>
    </w:p>
  </w:endnote>
  <w:endnote w:type="continuationSeparator" w:id="0">
    <w:p w14:paraId="2BCF3279" w14:textId="77777777" w:rsidR="00604B4F" w:rsidRDefault="00604B4F" w:rsidP="00F2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Light">
    <w:panose1 w:val="020B04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719A" w14:textId="50AF1500" w:rsidR="009C068B" w:rsidRDefault="009C068B">
    <w:pPr>
      <w:pStyle w:val="Footer"/>
      <w:jc w:val="right"/>
    </w:pPr>
  </w:p>
  <w:p w14:paraId="60E737B1" w14:textId="77777777" w:rsidR="00223030" w:rsidRDefault="00223030" w:rsidP="00223030">
    <w:pPr>
      <w:pStyle w:val="Footer"/>
      <w:jc w:val="center"/>
    </w:pPr>
    <w:r w:rsidRPr="00F731C6">
      <w:rPr>
        <w:rFonts w:ascii="IBM Plex Sans" w:hAnsi="IBM Plex Sans"/>
        <w:noProof/>
        <w:color w:val="262528"/>
        <w:sz w:val="15"/>
        <w:szCs w:val="15"/>
      </w:rPr>
      <w:drawing>
        <wp:anchor distT="0" distB="0" distL="114300" distR="114300" simplePos="0" relativeHeight="251659264" behindDoc="0" locked="0" layoutInCell="1" allowOverlap="1" wp14:anchorId="25C1E35A" wp14:editId="1A3BB70F">
          <wp:simplePos x="0" y="0"/>
          <wp:positionH relativeFrom="margin">
            <wp:align>left</wp:align>
          </wp:positionH>
          <wp:positionV relativeFrom="paragraph">
            <wp:posOffset>-171132</wp:posOffset>
          </wp:positionV>
          <wp:extent cx="586740" cy="899795"/>
          <wp:effectExtent l="0" t="0" r="381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-tag-gre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54E0">
      <w:rPr>
        <w:rFonts w:ascii="IBM Plex Sans" w:hAnsi="IBM Plex Sans"/>
        <w:b/>
        <w:sz w:val="16"/>
        <w:szCs w:val="16"/>
      </w:rPr>
      <w:t xml:space="preserve"> </w:t>
    </w:r>
    <w:bookmarkStart w:id="1" w:name="_Hlk26450876"/>
    <w:r>
      <w:rPr>
        <w:rFonts w:ascii="IBM Plex Sans" w:hAnsi="IBM Plex Sans"/>
        <w:b/>
        <w:sz w:val="16"/>
        <w:szCs w:val="16"/>
      </w:rPr>
      <w:t>Liability limited by a scheme approved under the Professional Standards Legislation</w:t>
    </w:r>
    <w:bookmarkEnd w:id="1"/>
  </w:p>
  <w:p w14:paraId="21506F13" w14:textId="77777777" w:rsidR="00223030" w:rsidRDefault="00223030" w:rsidP="00223030">
    <w:pPr>
      <w:pStyle w:val="Footer"/>
    </w:pPr>
  </w:p>
  <w:p w14:paraId="63423F2F" w14:textId="0A0AF1B4" w:rsidR="00F2247E" w:rsidRDefault="00F2247E" w:rsidP="0022303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EEB20" w14:textId="77777777" w:rsidR="00604B4F" w:rsidRDefault="00604B4F" w:rsidP="00F2247E">
      <w:pPr>
        <w:spacing w:after="0" w:line="240" w:lineRule="auto"/>
      </w:pPr>
      <w:r>
        <w:separator/>
      </w:r>
    </w:p>
  </w:footnote>
  <w:footnote w:type="continuationSeparator" w:id="0">
    <w:p w14:paraId="430F30E6" w14:textId="77777777" w:rsidR="00604B4F" w:rsidRDefault="00604B4F" w:rsidP="00F22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40AC4" w14:textId="0DC5377E" w:rsidR="00960928" w:rsidRDefault="00960928" w:rsidP="00960928">
    <w:pPr>
      <w:pStyle w:val="Header"/>
      <w:jc w:val="right"/>
      <w:rPr>
        <w:noProof/>
      </w:rPr>
    </w:pPr>
  </w:p>
  <w:p w14:paraId="61EE932B" w14:textId="1890D3E2" w:rsidR="00223030" w:rsidRDefault="00223030" w:rsidP="00960928">
    <w:pPr>
      <w:pStyle w:val="Header"/>
      <w:jc w:val="right"/>
      <w:rPr>
        <w:noProof/>
      </w:rPr>
    </w:pPr>
  </w:p>
  <w:p w14:paraId="071D30DD" w14:textId="77777777" w:rsidR="00223030" w:rsidRDefault="00223030" w:rsidP="00960928">
    <w:pPr>
      <w:pStyle w:val="Header"/>
      <w:jc w:val="right"/>
      <w:rPr>
        <w:noProof/>
      </w:rPr>
    </w:pPr>
  </w:p>
  <w:p w14:paraId="4EE7F228" w14:textId="42BC6485" w:rsidR="00223030" w:rsidRDefault="00223030" w:rsidP="00960928">
    <w:pPr>
      <w:pStyle w:val="Header"/>
      <w:jc w:val="right"/>
      <w:rPr>
        <w:noProof/>
      </w:rPr>
    </w:pPr>
    <w:r>
      <w:rPr>
        <w:noProof/>
      </w:rPr>
      <w:drawing>
        <wp:inline distT="0" distB="0" distL="0" distR="0" wp14:anchorId="50691AA8" wp14:editId="6B307ECA">
          <wp:extent cx="1439545" cy="395605"/>
          <wp:effectExtent l="0" t="0" r="8255" b="4445"/>
          <wp:docPr id="7" name="Picture 7" descr="A close up of a sig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898331" w14:textId="77777777" w:rsidR="00223030" w:rsidRDefault="00223030" w:rsidP="00223030">
    <w:pPr>
      <w:spacing w:after="54" w:line="259" w:lineRule="auto"/>
      <w:ind w:left="0" w:firstLine="0"/>
      <w:jc w:val="right"/>
      <w:rPr>
        <w:rFonts w:ascii="IBM Plex Sans Light" w:hAnsi="IBM Plex Sans Light"/>
        <w:sz w:val="16"/>
        <w:szCs w:val="16"/>
      </w:rPr>
    </w:pPr>
  </w:p>
  <w:p w14:paraId="286C93CF" w14:textId="5D3D0C3A" w:rsidR="00223030" w:rsidRPr="00223030" w:rsidRDefault="00223030" w:rsidP="00223030">
    <w:pPr>
      <w:spacing w:after="54" w:line="259" w:lineRule="auto"/>
      <w:ind w:left="0" w:right="133" w:firstLine="0"/>
      <w:jc w:val="right"/>
      <w:rPr>
        <w:rFonts w:ascii="IBM Plex Sans Light" w:hAnsi="IBM Plex Sans Light"/>
        <w:sz w:val="16"/>
        <w:szCs w:val="16"/>
      </w:rPr>
    </w:pPr>
    <w:r w:rsidRPr="00463AC8">
      <w:rPr>
        <w:rFonts w:ascii="IBM Plex Sans Light" w:hAnsi="IBM Plex Sans Light"/>
        <w:sz w:val="16"/>
        <w:szCs w:val="16"/>
      </w:rPr>
      <w:t xml:space="preserve">ABN: 50 102 320 329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E1EA2"/>
    <w:multiLevelType w:val="hybridMultilevel"/>
    <w:tmpl w:val="CA1E77AE"/>
    <w:lvl w:ilvl="0" w:tplc="2C960112">
      <w:start w:val="1"/>
      <w:numFmt w:val="bullet"/>
      <w:lvlText w:val=""/>
      <w:lvlJc w:val="left"/>
      <w:pPr>
        <w:ind w:left="519"/>
      </w:pPr>
      <w:rPr>
        <w:rFonts w:ascii="Symbol" w:hAnsi="Symbol" w:hint="default"/>
        <w:b w:val="0"/>
        <w:i w:val="0"/>
        <w:strike w:val="0"/>
        <w:dstrike w:val="0"/>
        <w:color w:val="31B6A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C182C">
      <w:start w:val="1"/>
      <w:numFmt w:val="bullet"/>
      <w:lvlText w:val="o"/>
      <w:lvlJc w:val="left"/>
      <w:pPr>
        <w:ind w:left="1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224F06">
      <w:start w:val="1"/>
      <w:numFmt w:val="bullet"/>
      <w:lvlText w:val="▪"/>
      <w:lvlJc w:val="left"/>
      <w:pPr>
        <w:ind w:left="1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1340C1A">
      <w:start w:val="1"/>
      <w:numFmt w:val="bullet"/>
      <w:lvlText w:val="•"/>
      <w:lvlJc w:val="left"/>
      <w:pPr>
        <w:ind w:left="2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4963076">
      <w:start w:val="1"/>
      <w:numFmt w:val="bullet"/>
      <w:lvlText w:val="o"/>
      <w:lvlJc w:val="left"/>
      <w:pPr>
        <w:ind w:left="3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76EBB42">
      <w:start w:val="1"/>
      <w:numFmt w:val="bullet"/>
      <w:lvlText w:val="▪"/>
      <w:lvlJc w:val="left"/>
      <w:pPr>
        <w:ind w:left="4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620ED2">
      <w:start w:val="1"/>
      <w:numFmt w:val="bullet"/>
      <w:lvlText w:val="•"/>
      <w:lvlJc w:val="left"/>
      <w:pPr>
        <w:ind w:left="4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4AF1B0">
      <w:start w:val="1"/>
      <w:numFmt w:val="bullet"/>
      <w:lvlText w:val="o"/>
      <w:lvlJc w:val="left"/>
      <w:pPr>
        <w:ind w:left="5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C6EC6AA">
      <w:start w:val="1"/>
      <w:numFmt w:val="bullet"/>
      <w:lvlText w:val="▪"/>
      <w:lvlJc w:val="left"/>
      <w:pPr>
        <w:ind w:left="6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DB3665"/>
    <w:multiLevelType w:val="hybridMultilevel"/>
    <w:tmpl w:val="018474FA"/>
    <w:lvl w:ilvl="0" w:tplc="3A424A0E">
      <w:start w:val="1"/>
      <w:numFmt w:val="bullet"/>
      <w:lvlText w:val="•"/>
      <w:lvlJc w:val="left"/>
      <w:pPr>
        <w:ind w:left="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EEEE760">
      <w:start w:val="1"/>
      <w:numFmt w:val="bullet"/>
      <w:lvlText w:val="o"/>
      <w:lvlJc w:val="left"/>
      <w:pPr>
        <w:ind w:left="1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8FED150">
      <w:start w:val="1"/>
      <w:numFmt w:val="bullet"/>
      <w:lvlText w:val="▪"/>
      <w:lvlJc w:val="left"/>
      <w:pPr>
        <w:ind w:left="1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94ED46">
      <w:start w:val="1"/>
      <w:numFmt w:val="bullet"/>
      <w:lvlText w:val="•"/>
      <w:lvlJc w:val="left"/>
      <w:pPr>
        <w:ind w:left="2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0CEB4E8">
      <w:start w:val="1"/>
      <w:numFmt w:val="bullet"/>
      <w:lvlText w:val="o"/>
      <w:lvlJc w:val="left"/>
      <w:pPr>
        <w:ind w:left="3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54E5438">
      <w:start w:val="1"/>
      <w:numFmt w:val="bullet"/>
      <w:lvlText w:val="▪"/>
      <w:lvlJc w:val="left"/>
      <w:pPr>
        <w:ind w:left="4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5D6B0A8">
      <w:start w:val="1"/>
      <w:numFmt w:val="bullet"/>
      <w:lvlText w:val="•"/>
      <w:lvlJc w:val="left"/>
      <w:pPr>
        <w:ind w:left="4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660BD0">
      <w:start w:val="1"/>
      <w:numFmt w:val="bullet"/>
      <w:lvlText w:val="o"/>
      <w:lvlJc w:val="left"/>
      <w:pPr>
        <w:ind w:left="5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72E5F40">
      <w:start w:val="1"/>
      <w:numFmt w:val="bullet"/>
      <w:lvlText w:val="▪"/>
      <w:lvlJc w:val="left"/>
      <w:pPr>
        <w:ind w:left="6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63498A"/>
    <w:multiLevelType w:val="hybridMultilevel"/>
    <w:tmpl w:val="F2345A0C"/>
    <w:lvl w:ilvl="0" w:tplc="2C960112">
      <w:start w:val="1"/>
      <w:numFmt w:val="bullet"/>
      <w:lvlText w:val=""/>
      <w:lvlJc w:val="left"/>
      <w:pPr>
        <w:ind w:left="519"/>
      </w:pPr>
      <w:rPr>
        <w:rFonts w:ascii="Symbol" w:hAnsi="Symbol" w:hint="default"/>
        <w:b w:val="0"/>
        <w:i w:val="0"/>
        <w:strike w:val="0"/>
        <w:dstrike w:val="0"/>
        <w:color w:val="31B6AF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EEEE760">
      <w:start w:val="1"/>
      <w:numFmt w:val="bullet"/>
      <w:lvlText w:val="o"/>
      <w:lvlJc w:val="left"/>
      <w:pPr>
        <w:ind w:left="1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8FED150">
      <w:start w:val="1"/>
      <w:numFmt w:val="bullet"/>
      <w:lvlText w:val="▪"/>
      <w:lvlJc w:val="left"/>
      <w:pPr>
        <w:ind w:left="1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894ED46">
      <w:start w:val="1"/>
      <w:numFmt w:val="bullet"/>
      <w:lvlText w:val="•"/>
      <w:lvlJc w:val="left"/>
      <w:pPr>
        <w:ind w:left="2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0CEB4E8">
      <w:start w:val="1"/>
      <w:numFmt w:val="bullet"/>
      <w:lvlText w:val="o"/>
      <w:lvlJc w:val="left"/>
      <w:pPr>
        <w:ind w:left="3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54E5438">
      <w:start w:val="1"/>
      <w:numFmt w:val="bullet"/>
      <w:lvlText w:val="▪"/>
      <w:lvlJc w:val="left"/>
      <w:pPr>
        <w:ind w:left="4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5D6B0A8">
      <w:start w:val="1"/>
      <w:numFmt w:val="bullet"/>
      <w:lvlText w:val="•"/>
      <w:lvlJc w:val="left"/>
      <w:pPr>
        <w:ind w:left="4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660BD0">
      <w:start w:val="1"/>
      <w:numFmt w:val="bullet"/>
      <w:lvlText w:val="o"/>
      <w:lvlJc w:val="left"/>
      <w:pPr>
        <w:ind w:left="5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72E5F40">
      <w:start w:val="1"/>
      <w:numFmt w:val="bullet"/>
      <w:lvlText w:val="▪"/>
      <w:lvlJc w:val="left"/>
      <w:pPr>
        <w:ind w:left="6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24209E"/>
    <w:multiLevelType w:val="hybridMultilevel"/>
    <w:tmpl w:val="F01282A2"/>
    <w:lvl w:ilvl="0" w:tplc="06FEC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5420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526DF"/>
    <w:multiLevelType w:val="hybridMultilevel"/>
    <w:tmpl w:val="CB96CCBA"/>
    <w:lvl w:ilvl="0" w:tplc="A2D2F020">
      <w:start w:val="1"/>
      <w:numFmt w:val="bullet"/>
      <w:lvlText w:val="•"/>
      <w:lvlJc w:val="left"/>
      <w:pPr>
        <w:ind w:left="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C182C">
      <w:start w:val="1"/>
      <w:numFmt w:val="bullet"/>
      <w:lvlText w:val="o"/>
      <w:lvlJc w:val="left"/>
      <w:pPr>
        <w:ind w:left="1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224F06">
      <w:start w:val="1"/>
      <w:numFmt w:val="bullet"/>
      <w:lvlText w:val="▪"/>
      <w:lvlJc w:val="left"/>
      <w:pPr>
        <w:ind w:left="1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1340C1A">
      <w:start w:val="1"/>
      <w:numFmt w:val="bullet"/>
      <w:lvlText w:val="•"/>
      <w:lvlJc w:val="left"/>
      <w:pPr>
        <w:ind w:left="2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4963076">
      <w:start w:val="1"/>
      <w:numFmt w:val="bullet"/>
      <w:lvlText w:val="o"/>
      <w:lvlJc w:val="left"/>
      <w:pPr>
        <w:ind w:left="3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76EBB42">
      <w:start w:val="1"/>
      <w:numFmt w:val="bullet"/>
      <w:lvlText w:val="▪"/>
      <w:lvlJc w:val="left"/>
      <w:pPr>
        <w:ind w:left="4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620ED2">
      <w:start w:val="1"/>
      <w:numFmt w:val="bullet"/>
      <w:lvlText w:val="•"/>
      <w:lvlJc w:val="left"/>
      <w:pPr>
        <w:ind w:left="4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74AF1B0">
      <w:start w:val="1"/>
      <w:numFmt w:val="bullet"/>
      <w:lvlText w:val="o"/>
      <w:lvlJc w:val="left"/>
      <w:pPr>
        <w:ind w:left="5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C6EC6AA">
      <w:start w:val="1"/>
      <w:numFmt w:val="bullet"/>
      <w:lvlText w:val="▪"/>
      <w:lvlJc w:val="left"/>
      <w:pPr>
        <w:ind w:left="6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350970"/>
    <w:multiLevelType w:val="hybridMultilevel"/>
    <w:tmpl w:val="7BE80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61C24"/>
    <w:multiLevelType w:val="hybridMultilevel"/>
    <w:tmpl w:val="74242A1E"/>
    <w:lvl w:ilvl="0" w:tplc="06FEC27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15420C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DF0"/>
    <w:rsid w:val="0004359B"/>
    <w:rsid w:val="00223030"/>
    <w:rsid w:val="00604B4F"/>
    <w:rsid w:val="006E3DF0"/>
    <w:rsid w:val="00960928"/>
    <w:rsid w:val="009B1EAA"/>
    <w:rsid w:val="009C068B"/>
    <w:rsid w:val="00B54291"/>
    <w:rsid w:val="00CF3755"/>
    <w:rsid w:val="00D5386B"/>
    <w:rsid w:val="00F2247E"/>
    <w:rsid w:val="00FB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7EF314"/>
  <w15:docId w15:val="{11AD1475-92B3-4AB0-B7B7-A8C20DDF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543" w:hanging="411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32"/>
      <w:outlineLvl w:val="0"/>
    </w:pPr>
    <w:rPr>
      <w:rFonts w:ascii="Arial" w:eastAsia="Arial" w:hAnsi="Arial" w:cs="Arial"/>
      <w:color w:val="39A09F"/>
      <w:sz w:val="3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42" w:hanging="10"/>
      <w:outlineLvl w:val="1"/>
    </w:pPr>
    <w:rPr>
      <w:rFonts w:ascii="Arial" w:eastAsia="Arial" w:hAnsi="Arial" w:cs="Arial"/>
      <w:b/>
      <w:color w:val="39A09F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39A09F"/>
      <w:sz w:val="23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39A09F"/>
      <w:sz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1B9"/>
    <w:rPr>
      <w:rFonts w:ascii="Segoe UI" w:eastAsia="Arial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F22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47E"/>
    <w:rPr>
      <w:rFonts w:ascii="Arial" w:eastAsia="Arial" w:hAnsi="Arial" w:cs="Arial"/>
      <w:color w:val="000000"/>
      <w:sz w:val="19"/>
    </w:rPr>
  </w:style>
  <w:style w:type="paragraph" w:styleId="Footer">
    <w:name w:val="footer"/>
    <w:basedOn w:val="Normal"/>
    <w:link w:val="FooterChar"/>
    <w:uiPriority w:val="99"/>
    <w:unhideWhenUsed/>
    <w:rsid w:val="00F2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47E"/>
    <w:rPr>
      <w:rFonts w:ascii="Arial" w:eastAsia="Arial" w:hAnsi="Arial" w:cs="Arial"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LMW Continuous Disclosure P  P 19Jul19 FINAL.docx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LMW Continuous Disclosure P  P 19Jul19 FINAL.docx</dc:title>
  <dc:subject/>
  <dc:creator>TOCallaghan</dc:creator>
  <cp:keywords/>
  <cp:lastModifiedBy>Trish O'Callaghan</cp:lastModifiedBy>
  <cp:revision>5</cp:revision>
  <dcterms:created xsi:type="dcterms:W3CDTF">2019-12-04T23:11:00Z</dcterms:created>
  <dcterms:modified xsi:type="dcterms:W3CDTF">2019-12-05T05:15:00Z</dcterms:modified>
</cp:coreProperties>
</file>