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D03FD" w14:textId="08A57909" w:rsidR="00B40FB2" w:rsidRDefault="004123C2" w:rsidP="00972A78">
      <w:pPr>
        <w:tabs>
          <w:tab w:val="center" w:pos="2880"/>
          <w:tab w:val="right" w:pos="14025"/>
        </w:tabs>
        <w:spacing w:after="1"/>
        <w:ind w:left="0" w:right="-214" w:firstLine="0"/>
        <w:jc w:val="right"/>
        <w:rPr>
          <w:noProof/>
        </w:rPr>
      </w:pPr>
      <w:r>
        <w:rPr>
          <w:color w:val="3BA2A1"/>
          <w:sz w:val="40"/>
        </w:rPr>
        <w:t xml:space="preserve"> </w:t>
      </w:r>
      <w:r>
        <w:rPr>
          <w:color w:val="3BA2A1"/>
          <w:sz w:val="40"/>
        </w:rPr>
        <w:tab/>
        <w:t xml:space="preserve"> </w:t>
      </w:r>
      <w:r>
        <w:rPr>
          <w:color w:val="3BA2A1"/>
          <w:sz w:val="40"/>
        </w:rPr>
        <w:tab/>
      </w:r>
    </w:p>
    <w:p w14:paraId="4F20F1C9" w14:textId="511DC124" w:rsidR="00FD2BF6" w:rsidRDefault="00FD2BF6" w:rsidP="00972A78">
      <w:pPr>
        <w:tabs>
          <w:tab w:val="center" w:pos="2880"/>
          <w:tab w:val="right" w:pos="14025"/>
        </w:tabs>
        <w:spacing w:after="1"/>
        <w:ind w:left="0" w:right="-214" w:firstLine="0"/>
        <w:jc w:val="right"/>
        <w:rPr>
          <w:noProof/>
        </w:rPr>
      </w:pPr>
    </w:p>
    <w:p w14:paraId="7D876308" w14:textId="4DEF2BC2" w:rsidR="00FD2BF6" w:rsidRDefault="00FD2BF6" w:rsidP="00972A78">
      <w:pPr>
        <w:tabs>
          <w:tab w:val="center" w:pos="2880"/>
          <w:tab w:val="right" w:pos="14025"/>
        </w:tabs>
        <w:spacing w:after="1"/>
        <w:ind w:left="0" w:right="-214" w:firstLine="0"/>
        <w:jc w:val="right"/>
        <w:rPr>
          <w:noProof/>
        </w:rPr>
      </w:pPr>
    </w:p>
    <w:p w14:paraId="6B6E8312" w14:textId="09A74254" w:rsidR="00FD2BF6" w:rsidRDefault="00FD2BF6" w:rsidP="00972A78">
      <w:pPr>
        <w:tabs>
          <w:tab w:val="center" w:pos="2880"/>
          <w:tab w:val="right" w:pos="14025"/>
        </w:tabs>
        <w:spacing w:after="1"/>
        <w:ind w:left="0" w:right="-214" w:firstLine="0"/>
        <w:jc w:val="right"/>
        <w:rPr>
          <w:noProof/>
        </w:rPr>
      </w:pPr>
    </w:p>
    <w:p w14:paraId="70A83C7F" w14:textId="0125C5E2" w:rsidR="00FD2BF6" w:rsidRDefault="00FD2BF6" w:rsidP="00972A78">
      <w:pPr>
        <w:tabs>
          <w:tab w:val="center" w:pos="2880"/>
          <w:tab w:val="right" w:pos="14025"/>
        </w:tabs>
        <w:spacing w:after="1"/>
        <w:ind w:left="0" w:right="-214" w:firstLine="0"/>
        <w:jc w:val="right"/>
        <w:rPr>
          <w:noProof/>
        </w:rPr>
      </w:pPr>
    </w:p>
    <w:p w14:paraId="21251864" w14:textId="384A320B" w:rsidR="00FD2BF6" w:rsidRDefault="002443BC" w:rsidP="00972A78">
      <w:pPr>
        <w:tabs>
          <w:tab w:val="center" w:pos="2880"/>
          <w:tab w:val="right" w:pos="14025"/>
        </w:tabs>
        <w:spacing w:after="1"/>
        <w:ind w:left="0" w:right="-214" w:firstLine="0"/>
        <w:jc w:val="right"/>
        <w:rPr>
          <w:noProof/>
        </w:rPr>
      </w:pPr>
      <w:r>
        <w:rPr>
          <w:noProof/>
        </w:rPr>
        <w:drawing>
          <wp:anchor distT="0" distB="0" distL="114300" distR="114300" simplePos="0" relativeHeight="251658240" behindDoc="0" locked="0" layoutInCell="1" allowOverlap="1" wp14:anchorId="09BBADFB" wp14:editId="5C656DA0">
            <wp:simplePos x="0" y="0"/>
            <wp:positionH relativeFrom="column">
              <wp:posOffset>4681537</wp:posOffset>
            </wp:positionH>
            <wp:positionV relativeFrom="paragraph">
              <wp:posOffset>133032</wp:posOffset>
            </wp:positionV>
            <wp:extent cx="4067177" cy="1118473"/>
            <wp:effectExtent l="0" t="0" r="0" b="5715"/>
            <wp:wrapSquare wrapText="bothSides"/>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Tagline.png"/>
                    <pic:cNvPicPr/>
                  </pic:nvPicPr>
                  <pic:blipFill>
                    <a:blip r:embed="rId7">
                      <a:extLst>
                        <a:ext uri="{28A0092B-C50C-407E-A947-70E740481C1C}">
                          <a14:useLocalDpi xmlns:a14="http://schemas.microsoft.com/office/drawing/2010/main" val="0"/>
                        </a:ext>
                      </a:extLst>
                    </a:blip>
                    <a:stretch>
                      <a:fillRect/>
                    </a:stretch>
                  </pic:blipFill>
                  <pic:spPr>
                    <a:xfrm>
                      <a:off x="0" y="0"/>
                      <a:ext cx="4067177" cy="1118473"/>
                    </a:xfrm>
                    <a:prstGeom prst="rect">
                      <a:avLst/>
                    </a:prstGeom>
                  </pic:spPr>
                </pic:pic>
              </a:graphicData>
            </a:graphic>
          </wp:anchor>
        </w:drawing>
      </w:r>
    </w:p>
    <w:p w14:paraId="6187C172" w14:textId="6D502FE4" w:rsidR="00FD2BF6" w:rsidRDefault="00FD2BF6" w:rsidP="00972A78">
      <w:pPr>
        <w:tabs>
          <w:tab w:val="center" w:pos="2880"/>
          <w:tab w:val="right" w:pos="14025"/>
        </w:tabs>
        <w:spacing w:after="1"/>
        <w:ind w:left="0" w:right="-214" w:firstLine="0"/>
        <w:jc w:val="right"/>
      </w:pPr>
    </w:p>
    <w:p w14:paraId="5BE3DA85" w14:textId="77777777" w:rsidR="002443BC" w:rsidRDefault="002443BC">
      <w:pPr>
        <w:pStyle w:val="Heading1"/>
        <w:ind w:right="219"/>
        <w:rPr>
          <w:color w:val="15420C"/>
        </w:rPr>
      </w:pPr>
    </w:p>
    <w:p w14:paraId="57ABE064" w14:textId="77777777" w:rsidR="002443BC" w:rsidRDefault="002443BC">
      <w:pPr>
        <w:pStyle w:val="Heading1"/>
        <w:ind w:right="219"/>
        <w:rPr>
          <w:color w:val="15420C"/>
        </w:rPr>
      </w:pPr>
    </w:p>
    <w:p w14:paraId="730FC138" w14:textId="77777777" w:rsidR="002443BC" w:rsidRDefault="002443BC">
      <w:pPr>
        <w:pStyle w:val="Heading1"/>
        <w:ind w:right="219"/>
        <w:rPr>
          <w:color w:val="15420C"/>
        </w:rPr>
      </w:pPr>
    </w:p>
    <w:p w14:paraId="78FECFA8" w14:textId="4C81F978" w:rsidR="00B40FB2" w:rsidRPr="0078013B" w:rsidRDefault="004123C2">
      <w:pPr>
        <w:pStyle w:val="Heading1"/>
        <w:ind w:right="219"/>
        <w:rPr>
          <w:color w:val="15420C"/>
        </w:rPr>
      </w:pPr>
      <w:r w:rsidRPr="0078013B">
        <w:rPr>
          <w:color w:val="15420C"/>
        </w:rPr>
        <w:t xml:space="preserve">CORPORATE GOVERNANCE STATEMENT 2019 </w:t>
      </w:r>
    </w:p>
    <w:p w14:paraId="62715C8F" w14:textId="1064BEDF" w:rsidR="00B40FB2" w:rsidRDefault="004123C2">
      <w:pPr>
        <w:spacing w:after="1302"/>
        <w:ind w:left="0" w:right="134" w:firstLine="0"/>
        <w:jc w:val="right"/>
      </w:pPr>
      <w:r>
        <w:rPr>
          <w:color w:val="181818"/>
          <w:sz w:val="36"/>
        </w:rPr>
        <w:t xml:space="preserve"> </w:t>
      </w:r>
    </w:p>
    <w:p w14:paraId="6E03FC90" w14:textId="61730000" w:rsidR="00B40FB2" w:rsidRDefault="0078013B">
      <w:pPr>
        <w:spacing w:after="0" w:line="265" w:lineRule="auto"/>
        <w:ind w:right="188"/>
        <w:jc w:val="right"/>
      </w:pPr>
      <w:r>
        <w:rPr>
          <w:color w:val="181818"/>
          <w:sz w:val="18"/>
        </w:rPr>
        <w:t>Acumentis</w:t>
      </w:r>
    </w:p>
    <w:p w14:paraId="29FD1A26" w14:textId="29E15772" w:rsidR="00B40FB2" w:rsidRDefault="004123C2">
      <w:pPr>
        <w:spacing w:after="0" w:line="265" w:lineRule="auto"/>
        <w:ind w:right="188"/>
        <w:jc w:val="right"/>
      </w:pPr>
      <w:r>
        <w:rPr>
          <w:color w:val="181818"/>
          <w:sz w:val="18"/>
        </w:rPr>
        <w:t xml:space="preserve">ASX: </w:t>
      </w:r>
      <w:r w:rsidR="00BA705D">
        <w:rPr>
          <w:color w:val="181818"/>
          <w:sz w:val="18"/>
        </w:rPr>
        <w:t>ACUMENTIS</w:t>
      </w:r>
      <w:r>
        <w:rPr>
          <w:color w:val="181818"/>
          <w:sz w:val="18"/>
        </w:rPr>
        <w:t xml:space="preserve"> </w:t>
      </w:r>
    </w:p>
    <w:p w14:paraId="6DE0E4C4" w14:textId="77777777" w:rsidR="00B40FB2" w:rsidRDefault="004123C2">
      <w:pPr>
        <w:spacing w:after="0" w:line="265" w:lineRule="auto"/>
        <w:ind w:right="188"/>
        <w:jc w:val="right"/>
      </w:pPr>
      <w:r>
        <w:rPr>
          <w:color w:val="181818"/>
          <w:sz w:val="18"/>
        </w:rPr>
        <w:t xml:space="preserve">ABN: 50 102 320 329 </w:t>
      </w:r>
    </w:p>
    <w:p w14:paraId="67B51F8C" w14:textId="77777777" w:rsidR="00B40FB2" w:rsidRDefault="004123C2">
      <w:pPr>
        <w:spacing w:after="0" w:line="265" w:lineRule="auto"/>
        <w:ind w:right="188"/>
        <w:jc w:val="right"/>
      </w:pPr>
      <w:r>
        <w:rPr>
          <w:color w:val="181818"/>
          <w:sz w:val="18"/>
        </w:rPr>
        <w:t xml:space="preserve">ACN: 102 320 329 </w:t>
      </w:r>
    </w:p>
    <w:p w14:paraId="2A8830E0" w14:textId="77777777" w:rsidR="00B40FB2" w:rsidRDefault="004123C2">
      <w:pPr>
        <w:spacing w:after="0"/>
        <w:ind w:left="0" w:right="152" w:firstLine="0"/>
        <w:jc w:val="right"/>
      </w:pPr>
      <w:r>
        <w:rPr>
          <w:color w:val="181818"/>
          <w:sz w:val="18"/>
        </w:rPr>
        <w:t xml:space="preserve"> </w:t>
      </w:r>
    </w:p>
    <w:p w14:paraId="45C7D43F" w14:textId="5C740774" w:rsidR="00B40FB2" w:rsidRDefault="004123C2">
      <w:pPr>
        <w:spacing w:after="0" w:line="265" w:lineRule="auto"/>
        <w:ind w:right="188"/>
        <w:jc w:val="right"/>
      </w:pPr>
      <w:r>
        <w:rPr>
          <w:color w:val="181818"/>
          <w:sz w:val="18"/>
        </w:rPr>
        <w:t xml:space="preserve">Level </w:t>
      </w:r>
      <w:r w:rsidR="0078013B">
        <w:rPr>
          <w:color w:val="181818"/>
          <w:sz w:val="18"/>
        </w:rPr>
        <w:t>4</w:t>
      </w:r>
      <w:r>
        <w:rPr>
          <w:color w:val="181818"/>
          <w:sz w:val="18"/>
        </w:rPr>
        <w:t xml:space="preserve">, </w:t>
      </w:r>
      <w:r w:rsidR="0078013B">
        <w:rPr>
          <w:color w:val="181818"/>
          <w:sz w:val="18"/>
        </w:rPr>
        <w:t>3</w:t>
      </w:r>
      <w:r>
        <w:rPr>
          <w:color w:val="181818"/>
          <w:sz w:val="18"/>
        </w:rPr>
        <w:t xml:space="preserve">5 </w:t>
      </w:r>
      <w:r w:rsidR="0078013B">
        <w:rPr>
          <w:color w:val="181818"/>
          <w:sz w:val="18"/>
        </w:rPr>
        <w:t>Boundary</w:t>
      </w:r>
      <w:r>
        <w:rPr>
          <w:color w:val="181818"/>
          <w:sz w:val="18"/>
        </w:rPr>
        <w:t xml:space="preserve"> Street  </w:t>
      </w:r>
    </w:p>
    <w:p w14:paraId="1E264AAF" w14:textId="72D73F25" w:rsidR="00B40FB2" w:rsidRDefault="0078013B">
      <w:pPr>
        <w:spacing w:after="0" w:line="265" w:lineRule="auto"/>
        <w:ind w:right="188"/>
        <w:jc w:val="right"/>
      </w:pPr>
      <w:r>
        <w:rPr>
          <w:color w:val="181818"/>
          <w:sz w:val="18"/>
        </w:rPr>
        <w:t>Brisbane</w:t>
      </w:r>
      <w:r w:rsidR="004123C2">
        <w:rPr>
          <w:color w:val="181818"/>
          <w:sz w:val="18"/>
        </w:rPr>
        <w:t xml:space="preserve"> </w:t>
      </w:r>
      <w:r>
        <w:rPr>
          <w:color w:val="181818"/>
          <w:sz w:val="18"/>
        </w:rPr>
        <w:t>QLD</w:t>
      </w:r>
      <w:r w:rsidR="004123C2">
        <w:rPr>
          <w:color w:val="181818"/>
          <w:sz w:val="18"/>
        </w:rPr>
        <w:t xml:space="preserve"> </w:t>
      </w:r>
      <w:r>
        <w:rPr>
          <w:color w:val="181818"/>
          <w:sz w:val="18"/>
        </w:rPr>
        <w:t>4101</w:t>
      </w:r>
      <w:r w:rsidR="004123C2">
        <w:rPr>
          <w:color w:val="181818"/>
          <w:sz w:val="18"/>
        </w:rPr>
        <w:t xml:space="preserve"> </w:t>
      </w:r>
    </w:p>
    <w:p w14:paraId="3E0BCE3A" w14:textId="20F48028" w:rsidR="00B40FB2" w:rsidRDefault="004123C2">
      <w:pPr>
        <w:spacing w:after="940" w:line="265" w:lineRule="auto"/>
        <w:ind w:right="188"/>
        <w:jc w:val="right"/>
      </w:pPr>
      <w:r>
        <w:rPr>
          <w:color w:val="181818"/>
          <w:sz w:val="18"/>
        </w:rPr>
        <w:t>Telephone: (0</w:t>
      </w:r>
      <w:r w:rsidR="0078013B">
        <w:rPr>
          <w:color w:val="181818"/>
          <w:sz w:val="18"/>
        </w:rPr>
        <w:t>7</w:t>
      </w:r>
      <w:r>
        <w:rPr>
          <w:color w:val="181818"/>
          <w:sz w:val="18"/>
        </w:rPr>
        <w:t xml:space="preserve">) </w:t>
      </w:r>
      <w:r w:rsidR="00CB2BD5">
        <w:rPr>
          <w:color w:val="181818"/>
          <w:sz w:val="18"/>
        </w:rPr>
        <w:t>3840 3000</w:t>
      </w:r>
      <w:r>
        <w:rPr>
          <w:color w:val="181818"/>
          <w:sz w:val="14"/>
        </w:rPr>
        <w:t xml:space="preserve"> </w:t>
      </w:r>
    </w:p>
    <w:p w14:paraId="6599FC9F" w14:textId="495C7EBC" w:rsidR="00B40FB2" w:rsidRPr="00A73545" w:rsidRDefault="004123C2" w:rsidP="000723C5">
      <w:pPr>
        <w:pStyle w:val="Heading1"/>
        <w:jc w:val="left"/>
        <w:rPr>
          <w:rFonts w:ascii="IBM Plex Serif Text" w:hAnsi="IBM Plex Serif Text"/>
          <w:color w:val="15420C"/>
        </w:rPr>
      </w:pPr>
      <w:r w:rsidRPr="00A73545">
        <w:rPr>
          <w:rFonts w:ascii="IBM Plex Serif Text" w:hAnsi="IBM Plex Serif Text"/>
          <w:color w:val="15420C"/>
        </w:rPr>
        <w:lastRenderedPageBreak/>
        <w:t xml:space="preserve">Introduction </w:t>
      </w:r>
    </w:p>
    <w:p w14:paraId="156F104F" w14:textId="77777777" w:rsidR="00A256D5" w:rsidRDefault="00A256D5" w:rsidP="00A256D5">
      <w:pPr>
        <w:ind w:left="-5"/>
        <w:jc w:val="both"/>
        <w:rPr>
          <w:rFonts w:ascii="IBM Plex Sans Light" w:hAnsi="IBM Plex Sans Light"/>
        </w:rPr>
      </w:pPr>
    </w:p>
    <w:p w14:paraId="5F7D5240" w14:textId="524AAA2B" w:rsidR="00B40FB2" w:rsidRPr="00A73545" w:rsidRDefault="004123C2" w:rsidP="00A256D5">
      <w:pPr>
        <w:ind w:left="-5"/>
        <w:jc w:val="both"/>
        <w:rPr>
          <w:rFonts w:ascii="IBM Plex Sans Light" w:hAnsi="IBM Plex Sans Light"/>
        </w:rPr>
      </w:pPr>
      <w:r w:rsidRPr="00A73545">
        <w:rPr>
          <w:rFonts w:ascii="IBM Plex Sans Light" w:hAnsi="IBM Plex Sans Light"/>
        </w:rPr>
        <w:t xml:space="preserve">The Board of </w:t>
      </w:r>
      <w:r w:rsidR="008C1D7C" w:rsidRPr="00A73545">
        <w:rPr>
          <w:rFonts w:ascii="IBM Plex Sans Light" w:hAnsi="IBM Plex Sans Light"/>
        </w:rPr>
        <w:t>Acumentis</w:t>
      </w:r>
      <w:r w:rsidRPr="00A73545">
        <w:rPr>
          <w:rFonts w:ascii="IBM Plex Sans Light" w:hAnsi="IBM Plex Sans Light"/>
        </w:rPr>
        <w:t xml:space="preserve"> (the “Company”) is committed to achieving and demonstrating a robust corporate governance framework.  </w:t>
      </w:r>
    </w:p>
    <w:p w14:paraId="65C95011" w14:textId="76C38498" w:rsidR="00B40FB2" w:rsidRPr="00A73545" w:rsidRDefault="004123C2" w:rsidP="00A256D5">
      <w:pPr>
        <w:ind w:left="-5"/>
        <w:jc w:val="both"/>
        <w:rPr>
          <w:rFonts w:ascii="IBM Plex Sans Light" w:hAnsi="IBM Plex Sans Light"/>
        </w:rPr>
      </w:pPr>
      <w:r w:rsidRPr="00A73545">
        <w:rPr>
          <w:rFonts w:ascii="IBM Plex Sans Light" w:hAnsi="IBM Plex Sans Light"/>
        </w:rPr>
        <w:t xml:space="preserve">The Board takes its governance responsibilities very seriously and believes it has the necessary mix of experience and skills to oversee the high standard of corporate governance, integrity and accountability required of a professional and ethical organisation. </w:t>
      </w:r>
      <w:r w:rsidR="008C1D7C" w:rsidRPr="00A73545">
        <w:rPr>
          <w:rFonts w:ascii="IBM Plex Sans Light" w:hAnsi="IBM Plex Sans Light"/>
        </w:rPr>
        <w:t>Acumentis</w:t>
      </w:r>
      <w:r w:rsidRPr="00A73545">
        <w:rPr>
          <w:rFonts w:ascii="IBM Plex Sans Light" w:hAnsi="IBM Plex Sans Light"/>
        </w:rPr>
        <w:t xml:space="preserve">’ corporate governance framework is designed to support the business operations, deliver on strategy, monitor performance and manage risk. </w:t>
      </w:r>
    </w:p>
    <w:p w14:paraId="77118ED0" w14:textId="7DC5CAAF" w:rsidR="00B40FB2" w:rsidRPr="00A73545" w:rsidRDefault="004123C2" w:rsidP="00A256D5">
      <w:pPr>
        <w:ind w:left="-5"/>
        <w:jc w:val="both"/>
        <w:rPr>
          <w:rFonts w:ascii="IBM Plex Sans Light" w:hAnsi="IBM Plex Sans Light"/>
        </w:rPr>
      </w:pPr>
      <w:r w:rsidRPr="00A73545">
        <w:rPr>
          <w:rFonts w:ascii="IBM Plex Sans Light" w:hAnsi="IBM Plex Sans Light"/>
        </w:rPr>
        <w:t xml:space="preserve">This Corporate Governance Statement is formatted to address each of the recommendations contained in the ASX Corporate Governance Council’s Principles and Recommendations (ASX Principles and Recommendations) and is also available on the </w:t>
      </w:r>
      <w:r w:rsidR="005B6760">
        <w:rPr>
          <w:rFonts w:ascii="IBM Plex Sans Light" w:hAnsi="IBM Plex Sans Light"/>
        </w:rPr>
        <w:t>Acumentis website.</w:t>
      </w:r>
    </w:p>
    <w:p w14:paraId="77A0BE51" w14:textId="77777777" w:rsidR="00B40FB2" w:rsidRPr="00A73545" w:rsidRDefault="004123C2" w:rsidP="00A256D5">
      <w:pPr>
        <w:ind w:left="-5"/>
        <w:jc w:val="both"/>
        <w:rPr>
          <w:rFonts w:ascii="IBM Plex Sans Light" w:hAnsi="IBM Plex Sans Light"/>
        </w:rPr>
      </w:pPr>
      <w:r w:rsidRPr="00A73545">
        <w:rPr>
          <w:rFonts w:ascii="IBM Plex Sans Light" w:hAnsi="IBM Plex Sans Light"/>
        </w:rPr>
        <w:t xml:space="preserve">Unless otherwise indicated, the information contained in this statement is true for the whole of the 2019 financial year commencing on 1 July 2018. </w:t>
      </w:r>
    </w:p>
    <w:p w14:paraId="6CB213E6" w14:textId="77777777" w:rsidR="00B40FB2" w:rsidRPr="00A73545" w:rsidRDefault="004123C2" w:rsidP="00A256D5">
      <w:pPr>
        <w:ind w:left="-5"/>
        <w:jc w:val="both"/>
        <w:rPr>
          <w:rFonts w:ascii="IBM Plex Sans Light" w:hAnsi="IBM Plex Sans Light"/>
        </w:rPr>
      </w:pPr>
      <w:r w:rsidRPr="00A73545">
        <w:rPr>
          <w:rFonts w:ascii="IBM Plex Sans Light" w:hAnsi="IBM Plex Sans Light"/>
        </w:rPr>
        <w:t xml:space="preserve">The Board conducted an interim review of this Statement at 1 July 2019 and made some changes to reflect the Company’s governance circumstances at that time. It is intended to comprehensively review the Statement in terms of the Corporate Governance Principles and Recommendations 4th Edition February 2019 and issue a new Statement by the end of calendar year 2019. </w:t>
      </w:r>
    </w:p>
    <w:p w14:paraId="06B23CBE" w14:textId="77777777" w:rsidR="00595F31" w:rsidRDefault="004123C2">
      <w:pPr>
        <w:spacing w:after="153"/>
        <w:ind w:left="0" w:firstLine="0"/>
        <w:rPr>
          <w:rFonts w:ascii="Lato" w:hAnsi="Lato"/>
        </w:rPr>
      </w:pPr>
      <w:r w:rsidRPr="00595F31">
        <w:rPr>
          <w:rFonts w:ascii="Lato" w:hAnsi="Lato"/>
        </w:rPr>
        <w:t xml:space="preserve"> </w:t>
      </w:r>
    </w:p>
    <w:p w14:paraId="7ED104EF" w14:textId="77777777" w:rsidR="00595F31" w:rsidRDefault="00595F31">
      <w:pPr>
        <w:spacing w:after="160"/>
        <w:ind w:left="0" w:firstLine="0"/>
        <w:rPr>
          <w:rFonts w:ascii="Lato" w:hAnsi="Lato"/>
        </w:rPr>
      </w:pPr>
      <w:r>
        <w:rPr>
          <w:rFonts w:ascii="Lato" w:hAnsi="Lato"/>
        </w:rPr>
        <w:br w:type="page"/>
      </w:r>
    </w:p>
    <w:p w14:paraId="33B742B4" w14:textId="77777777" w:rsidR="00B40FB2" w:rsidRPr="00A73545" w:rsidRDefault="004123C2">
      <w:pPr>
        <w:pStyle w:val="Heading2"/>
        <w:ind w:left="-5"/>
        <w:rPr>
          <w:rFonts w:ascii="IBM Plex Serif Text" w:hAnsi="IBM Plex Serif Text"/>
          <w:color w:val="15420C"/>
        </w:rPr>
      </w:pPr>
      <w:r w:rsidRPr="00A73545">
        <w:rPr>
          <w:rFonts w:ascii="IBM Plex Serif Text" w:hAnsi="IBM Plex Serif Text"/>
          <w:color w:val="15420C"/>
        </w:rPr>
        <w:lastRenderedPageBreak/>
        <w:t xml:space="preserve">Table of Contents </w:t>
      </w:r>
    </w:p>
    <w:p w14:paraId="1886D33A" w14:textId="6161C227"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LAY SOLID FOUNDATIONS FOR MANAGEMENT AND OVERSIGHT ........................................................................................................................ 2 </w:t>
      </w:r>
    </w:p>
    <w:p w14:paraId="076217C3" w14:textId="74B84E7B"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STRUCTURE THE BOARD TO ADD VALUE .................................................................................................................................................................. 6 </w:t>
      </w:r>
    </w:p>
    <w:p w14:paraId="59365673" w14:textId="6AD5FF98"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ACT ETHICALLY AND RESPONSIBLY ........................................................................................................................................................................ 10 </w:t>
      </w:r>
    </w:p>
    <w:p w14:paraId="149F65FA" w14:textId="2AB4DC2F"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SAFEGUARD INTEGRITY IN CORPORATE REPORTING ....................................................</w:t>
      </w:r>
      <w:r w:rsidR="004E60EF">
        <w:rPr>
          <w:rFonts w:ascii="IBM Plex Sans Light" w:hAnsi="IBM Plex Sans Light"/>
        </w:rPr>
        <w:t>.</w:t>
      </w:r>
      <w:r w:rsidRPr="00A73545">
        <w:rPr>
          <w:rFonts w:ascii="IBM Plex Sans Light" w:hAnsi="IBM Plex Sans Light"/>
        </w:rPr>
        <w:t xml:space="preserve">......................................................................................11 </w:t>
      </w:r>
    </w:p>
    <w:p w14:paraId="4217E663" w14:textId="4CDED2AE"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MAKE TIMELY AND BALANCED DISCLOSURE .......................................................................................................................................................... 13 </w:t>
      </w:r>
    </w:p>
    <w:p w14:paraId="29EE3125" w14:textId="4088DF98"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RESPECT THE RIGHTS OF SECURITY HOLDERS ...................................................................................................................................................... 14 </w:t>
      </w:r>
    </w:p>
    <w:p w14:paraId="31E00F5D" w14:textId="100F6F15" w:rsidR="00B40FB2" w:rsidRPr="00A73545" w:rsidRDefault="004123C2">
      <w:pPr>
        <w:numPr>
          <w:ilvl w:val="0"/>
          <w:numId w:val="1"/>
        </w:numPr>
        <w:ind w:hanging="440"/>
        <w:rPr>
          <w:rFonts w:ascii="IBM Plex Sans Light" w:hAnsi="IBM Plex Sans Light"/>
        </w:rPr>
      </w:pPr>
      <w:r w:rsidRPr="00A73545">
        <w:rPr>
          <w:rFonts w:ascii="IBM Plex Sans Light" w:hAnsi="IBM Plex Sans Light"/>
        </w:rPr>
        <w:t xml:space="preserve">RECOGNISE AND MANAGE RISK ............................................................................................................................................................................... 15 </w:t>
      </w:r>
    </w:p>
    <w:p w14:paraId="7BBA4217" w14:textId="1A9D98B7" w:rsidR="00B40FB2" w:rsidRPr="00595F31" w:rsidRDefault="004123C2">
      <w:pPr>
        <w:numPr>
          <w:ilvl w:val="0"/>
          <w:numId w:val="1"/>
        </w:numPr>
        <w:spacing w:after="0" w:line="353" w:lineRule="auto"/>
        <w:ind w:hanging="440"/>
        <w:rPr>
          <w:rFonts w:ascii="Lato" w:hAnsi="Lato"/>
        </w:rPr>
      </w:pPr>
      <w:r w:rsidRPr="00A73545">
        <w:rPr>
          <w:rFonts w:ascii="IBM Plex Sans Light" w:hAnsi="IBM Plex Sans Light"/>
        </w:rPr>
        <w:t>REMUNERATE FAIRLY AND RESPONSIBLY .............................................................................................................................................................. 17</w:t>
      </w:r>
      <w:r w:rsidRPr="00595F31">
        <w:rPr>
          <w:rFonts w:ascii="Lato" w:hAnsi="Lato"/>
        </w:rPr>
        <w:t xml:space="preserve">  </w:t>
      </w:r>
    </w:p>
    <w:p w14:paraId="33866E5B" w14:textId="77777777" w:rsidR="00595F31" w:rsidRDefault="004123C2">
      <w:pPr>
        <w:spacing w:after="0"/>
        <w:ind w:left="0" w:firstLine="0"/>
        <w:rPr>
          <w:rFonts w:ascii="Lato" w:hAnsi="Lato"/>
        </w:rPr>
      </w:pPr>
      <w:r w:rsidRPr="00595F31">
        <w:rPr>
          <w:rFonts w:ascii="Lato" w:hAnsi="Lato"/>
        </w:rPr>
        <w:t xml:space="preserve"> </w:t>
      </w:r>
      <w:r w:rsidRPr="00595F31">
        <w:rPr>
          <w:rFonts w:ascii="Lato" w:hAnsi="Lato"/>
        </w:rPr>
        <w:tab/>
        <w:t xml:space="preserve"> </w:t>
      </w:r>
    </w:p>
    <w:p w14:paraId="47447898" w14:textId="77777777" w:rsidR="00595F31" w:rsidRDefault="00595F31">
      <w:pPr>
        <w:spacing w:after="160"/>
        <w:ind w:left="0" w:firstLine="0"/>
        <w:rPr>
          <w:rFonts w:ascii="Lato" w:hAnsi="Lato"/>
        </w:rPr>
      </w:pPr>
      <w:r>
        <w:rPr>
          <w:rFonts w:ascii="Lato" w:hAnsi="Lato"/>
        </w:rPr>
        <w:br w:type="page"/>
      </w:r>
    </w:p>
    <w:p w14:paraId="28D32966" w14:textId="77777777" w:rsidR="00B40FB2" w:rsidRPr="00595F31" w:rsidRDefault="00B40FB2">
      <w:pPr>
        <w:spacing w:after="0"/>
        <w:ind w:left="0" w:firstLine="0"/>
        <w:rPr>
          <w:rFonts w:ascii="Lato" w:hAnsi="Lato"/>
        </w:rPr>
      </w:pPr>
    </w:p>
    <w:p w14:paraId="47E80126" w14:textId="77777777" w:rsidR="00B40FB2" w:rsidRPr="00595F31" w:rsidRDefault="00B40FB2">
      <w:pPr>
        <w:spacing w:after="0"/>
        <w:ind w:left="-1440" w:right="15465" w:firstLine="0"/>
        <w:rPr>
          <w:rFonts w:ascii="Lato" w:hAnsi="Lato"/>
        </w:rPr>
      </w:pPr>
    </w:p>
    <w:tbl>
      <w:tblPr>
        <w:tblStyle w:val="TableGrid0"/>
        <w:tblW w:w="14034" w:type="dxa"/>
        <w:tblLook w:val="04A0" w:firstRow="1" w:lastRow="0" w:firstColumn="1" w:lastColumn="0" w:noHBand="0" w:noVBand="1"/>
      </w:tblPr>
      <w:tblGrid>
        <w:gridCol w:w="4705"/>
        <w:gridCol w:w="9329"/>
      </w:tblGrid>
      <w:tr w:rsidR="00B40FB2" w:rsidRPr="004E60EF" w14:paraId="30F09684" w14:textId="77777777" w:rsidTr="00824355">
        <w:trPr>
          <w:trHeight w:val="538"/>
        </w:trPr>
        <w:tc>
          <w:tcPr>
            <w:tcW w:w="14034" w:type="dxa"/>
            <w:gridSpan w:val="2"/>
            <w:shd w:val="clear" w:color="auto" w:fill="15420C"/>
          </w:tcPr>
          <w:p w14:paraId="2A80F981" w14:textId="77777777" w:rsidR="00B40FB2" w:rsidRPr="004E60EF" w:rsidRDefault="004123C2">
            <w:pPr>
              <w:spacing w:after="0"/>
              <w:ind w:left="0" w:firstLine="0"/>
              <w:rPr>
                <w:rFonts w:ascii="IBM Plex Serif Text" w:hAnsi="IBM Plex Serif Text"/>
              </w:rPr>
            </w:pPr>
            <w:r w:rsidRPr="004E60EF">
              <w:rPr>
                <w:rFonts w:ascii="IBM Plex Serif Text" w:hAnsi="IBM Plex Serif Text"/>
                <w:color w:val="FFFFFF"/>
                <w:sz w:val="24"/>
              </w:rPr>
              <w:t>1.</w:t>
            </w:r>
            <w:r w:rsidRPr="004E60EF">
              <w:rPr>
                <w:rFonts w:ascii="IBM Plex Serif Text" w:eastAsia="Arial" w:hAnsi="IBM Plex Serif Text" w:cs="Arial"/>
                <w:b/>
                <w:color w:val="FFFFFF"/>
                <w:sz w:val="24"/>
              </w:rPr>
              <w:t xml:space="preserve"> </w:t>
            </w:r>
            <w:r w:rsidRPr="004E60EF">
              <w:rPr>
                <w:rFonts w:ascii="IBM Plex Serif Text" w:hAnsi="IBM Plex Serif Text"/>
                <w:color w:val="FFFFFF"/>
                <w:sz w:val="24"/>
              </w:rPr>
              <w:t>LAY SOLID FOUNDATIONS FOR MANAGEMENT AND OVERSIGHT</w:t>
            </w:r>
            <w:r w:rsidRPr="004E60EF">
              <w:rPr>
                <w:rFonts w:ascii="IBM Plex Serif Text" w:hAnsi="IBM Plex Serif Text"/>
                <w:color w:val="FFFFFF"/>
                <w:sz w:val="20"/>
              </w:rPr>
              <w:t xml:space="preserve"> </w:t>
            </w:r>
          </w:p>
        </w:tc>
      </w:tr>
      <w:tr w:rsidR="00B40FB2" w:rsidRPr="004E60EF" w14:paraId="27FD737E" w14:textId="77777777" w:rsidTr="00824355">
        <w:trPr>
          <w:trHeight w:val="6123"/>
        </w:trPr>
        <w:tc>
          <w:tcPr>
            <w:tcW w:w="4705" w:type="dxa"/>
          </w:tcPr>
          <w:p w14:paraId="18CB18D4" w14:textId="77777777" w:rsidR="00B40FB2" w:rsidRPr="004E60EF" w:rsidRDefault="004123C2">
            <w:pPr>
              <w:spacing w:after="117"/>
              <w:ind w:left="0" w:firstLine="0"/>
              <w:rPr>
                <w:rFonts w:ascii="IBM Plex Sans Light" w:hAnsi="IBM Plex Sans Light"/>
              </w:rPr>
            </w:pPr>
            <w:r w:rsidRPr="004E60EF">
              <w:rPr>
                <w:rFonts w:ascii="IBM Plex Sans Light" w:hAnsi="IBM Plex Sans Light"/>
                <w:sz w:val="20"/>
              </w:rPr>
              <w:t xml:space="preserve">1.1 A listed entity should disclose: </w:t>
            </w:r>
          </w:p>
          <w:p w14:paraId="42842C72" w14:textId="77777777" w:rsidR="00B40FB2" w:rsidRPr="004E60EF" w:rsidRDefault="004123C2">
            <w:pPr>
              <w:numPr>
                <w:ilvl w:val="0"/>
                <w:numId w:val="2"/>
              </w:numPr>
              <w:spacing w:after="140" w:line="237" w:lineRule="auto"/>
              <w:ind w:hanging="360"/>
              <w:rPr>
                <w:rFonts w:ascii="IBM Plex Sans Light" w:hAnsi="IBM Plex Sans Light"/>
              </w:rPr>
            </w:pPr>
            <w:r w:rsidRPr="004E60EF">
              <w:rPr>
                <w:rFonts w:ascii="IBM Plex Sans Light" w:hAnsi="IBM Plex Sans Light"/>
                <w:sz w:val="20"/>
              </w:rPr>
              <w:t xml:space="preserve">the respective roles and responsibilities of its board and management; and  </w:t>
            </w:r>
          </w:p>
          <w:p w14:paraId="54968171" w14:textId="77777777" w:rsidR="00B40FB2" w:rsidRPr="00F43050" w:rsidRDefault="004123C2">
            <w:pPr>
              <w:numPr>
                <w:ilvl w:val="0"/>
                <w:numId w:val="2"/>
              </w:numPr>
              <w:spacing w:after="0"/>
              <w:ind w:hanging="360"/>
              <w:rPr>
                <w:rFonts w:ascii="IBM Plex Sans Light" w:hAnsi="IBM Plex Sans Light"/>
              </w:rPr>
            </w:pPr>
            <w:r w:rsidRPr="004E60EF">
              <w:rPr>
                <w:rFonts w:ascii="IBM Plex Sans Light" w:hAnsi="IBM Plex Sans Light"/>
                <w:sz w:val="20"/>
              </w:rPr>
              <w:t xml:space="preserve">those matters expressly reserved to the board and those delegated to management. </w:t>
            </w:r>
          </w:p>
          <w:p w14:paraId="276C49C0" w14:textId="77777777" w:rsidR="00F43050" w:rsidRPr="00F43050" w:rsidRDefault="00F43050" w:rsidP="00F43050">
            <w:pPr>
              <w:rPr>
                <w:rFonts w:ascii="IBM Plex Sans Light" w:hAnsi="IBM Plex Sans Light"/>
              </w:rPr>
            </w:pPr>
          </w:p>
          <w:p w14:paraId="030BAEF0" w14:textId="77777777" w:rsidR="00F43050" w:rsidRDefault="00F43050" w:rsidP="00F43050">
            <w:pPr>
              <w:rPr>
                <w:rFonts w:ascii="IBM Plex Sans Light" w:hAnsi="IBM Plex Sans Light"/>
                <w:sz w:val="20"/>
              </w:rPr>
            </w:pPr>
          </w:p>
          <w:p w14:paraId="0A869BBF" w14:textId="77777777" w:rsidR="00F43050" w:rsidRDefault="00F43050" w:rsidP="00F43050">
            <w:pPr>
              <w:rPr>
                <w:rFonts w:ascii="IBM Plex Sans Light" w:hAnsi="IBM Plex Sans Light"/>
                <w:sz w:val="20"/>
              </w:rPr>
            </w:pPr>
          </w:p>
          <w:p w14:paraId="63A9EA6D" w14:textId="673E8D24" w:rsidR="00F43050" w:rsidRPr="00F43050" w:rsidRDefault="00F43050" w:rsidP="00F43050">
            <w:pPr>
              <w:tabs>
                <w:tab w:val="left" w:pos="3555"/>
              </w:tabs>
              <w:rPr>
                <w:rFonts w:ascii="IBM Plex Sans Light" w:hAnsi="IBM Plex Sans Light"/>
              </w:rPr>
            </w:pPr>
            <w:r>
              <w:rPr>
                <w:rFonts w:ascii="IBM Plex Sans Light" w:hAnsi="IBM Plex Sans Light"/>
              </w:rPr>
              <w:tab/>
            </w:r>
            <w:r>
              <w:rPr>
                <w:rFonts w:ascii="IBM Plex Sans Light" w:hAnsi="IBM Plex Sans Light"/>
              </w:rPr>
              <w:tab/>
            </w:r>
          </w:p>
        </w:tc>
        <w:tc>
          <w:tcPr>
            <w:tcW w:w="9329" w:type="dxa"/>
          </w:tcPr>
          <w:p w14:paraId="08934FB6" w14:textId="77777777" w:rsidR="00B40FB2" w:rsidRPr="004E60EF" w:rsidRDefault="004123C2">
            <w:pPr>
              <w:spacing w:after="139" w:line="237" w:lineRule="auto"/>
              <w:ind w:left="2" w:firstLine="0"/>
              <w:rPr>
                <w:rFonts w:ascii="IBM Plex Sans Light" w:hAnsi="IBM Plex Sans Light"/>
              </w:rPr>
            </w:pPr>
            <w:r w:rsidRPr="004E60EF">
              <w:rPr>
                <w:rFonts w:ascii="IBM Plex Sans Light" w:hAnsi="IBM Plex Sans Light"/>
                <w:sz w:val="20"/>
              </w:rPr>
              <w:t xml:space="preserve">The Board is responsible for guiding and monitoring the overall corporate governance, business performance and strategic direction of the Company on behalf of shareholders to whom it is accountable. </w:t>
            </w:r>
          </w:p>
          <w:p w14:paraId="1665B31D" w14:textId="77777777" w:rsidR="00B40FB2" w:rsidRPr="004E60EF" w:rsidRDefault="004123C2">
            <w:pPr>
              <w:spacing w:after="120"/>
              <w:ind w:left="2" w:firstLine="0"/>
              <w:rPr>
                <w:rFonts w:ascii="IBM Plex Sans Light" w:hAnsi="IBM Plex Sans Light"/>
                <w:sz w:val="20"/>
                <w:szCs w:val="20"/>
              </w:rPr>
            </w:pPr>
            <w:r w:rsidRPr="004E60EF">
              <w:rPr>
                <w:rFonts w:ascii="IBM Plex Sans Light" w:hAnsi="IBM Plex Sans Light"/>
                <w:sz w:val="20"/>
                <w:szCs w:val="20"/>
              </w:rPr>
              <w:t xml:space="preserve">Matters specifically reserved for the Board include: </w:t>
            </w:r>
          </w:p>
          <w:p w14:paraId="569529A3" w14:textId="77777777" w:rsidR="00B40FB2" w:rsidRPr="004E60EF" w:rsidRDefault="004123C2">
            <w:pPr>
              <w:numPr>
                <w:ilvl w:val="0"/>
                <w:numId w:val="3"/>
              </w:numPr>
              <w:spacing w:after="0"/>
              <w:ind w:hanging="360"/>
              <w:rPr>
                <w:rFonts w:ascii="IBM Plex Sans Light" w:hAnsi="IBM Plex Sans Light"/>
                <w:sz w:val="20"/>
                <w:szCs w:val="20"/>
              </w:rPr>
            </w:pPr>
            <w:r w:rsidRPr="004E60EF">
              <w:rPr>
                <w:rFonts w:ascii="IBM Plex Sans Light" w:hAnsi="IBM Plex Sans Light"/>
                <w:sz w:val="20"/>
                <w:szCs w:val="20"/>
              </w:rPr>
              <w:t xml:space="preserve">Decisions about organisational strategy and policies </w:t>
            </w:r>
          </w:p>
          <w:p w14:paraId="336B44B5" w14:textId="77777777" w:rsidR="00B40FB2" w:rsidRPr="004E60EF" w:rsidRDefault="004123C2">
            <w:pPr>
              <w:numPr>
                <w:ilvl w:val="0"/>
                <w:numId w:val="3"/>
              </w:numPr>
              <w:spacing w:after="2"/>
              <w:ind w:hanging="360"/>
              <w:rPr>
                <w:rFonts w:ascii="IBM Plex Sans Light" w:hAnsi="IBM Plex Sans Light"/>
                <w:sz w:val="20"/>
                <w:szCs w:val="20"/>
              </w:rPr>
            </w:pPr>
            <w:r w:rsidRPr="004E60EF">
              <w:rPr>
                <w:rFonts w:ascii="IBM Plex Sans Light" w:hAnsi="IBM Plex Sans Light"/>
                <w:sz w:val="20"/>
                <w:szCs w:val="20"/>
              </w:rPr>
              <w:t xml:space="preserve">Approval of capital structure of company </w:t>
            </w:r>
          </w:p>
          <w:p w14:paraId="35379C36" w14:textId="77777777" w:rsidR="00B40FB2" w:rsidRPr="004E60EF" w:rsidRDefault="004123C2">
            <w:pPr>
              <w:numPr>
                <w:ilvl w:val="0"/>
                <w:numId w:val="3"/>
              </w:numPr>
              <w:spacing w:after="0"/>
              <w:ind w:hanging="360"/>
              <w:rPr>
                <w:rFonts w:ascii="IBM Plex Sans Light" w:hAnsi="IBM Plex Sans Light"/>
                <w:sz w:val="20"/>
                <w:szCs w:val="20"/>
              </w:rPr>
            </w:pPr>
            <w:r w:rsidRPr="004E60EF">
              <w:rPr>
                <w:rFonts w:ascii="IBM Plex Sans Light" w:hAnsi="IBM Plex Sans Light"/>
                <w:sz w:val="20"/>
                <w:szCs w:val="20"/>
              </w:rPr>
              <w:t xml:space="preserve">Matters involving financial amounts above certain limits </w:t>
            </w:r>
          </w:p>
          <w:p w14:paraId="31708FE5" w14:textId="77777777" w:rsidR="00B40FB2" w:rsidRPr="004E60EF" w:rsidRDefault="004123C2">
            <w:pPr>
              <w:numPr>
                <w:ilvl w:val="0"/>
                <w:numId w:val="3"/>
              </w:numPr>
              <w:spacing w:after="0"/>
              <w:ind w:hanging="360"/>
              <w:rPr>
                <w:rFonts w:ascii="IBM Plex Sans Light" w:hAnsi="IBM Plex Sans Light"/>
                <w:sz w:val="20"/>
                <w:szCs w:val="20"/>
              </w:rPr>
            </w:pPr>
            <w:r w:rsidRPr="004E60EF">
              <w:rPr>
                <w:rFonts w:ascii="IBM Plex Sans Light" w:hAnsi="IBM Plex Sans Light"/>
                <w:sz w:val="20"/>
                <w:szCs w:val="20"/>
              </w:rPr>
              <w:t xml:space="preserve">Approval of contracts and obligations above a certain limit </w:t>
            </w:r>
          </w:p>
          <w:p w14:paraId="464D1A95" w14:textId="77777777" w:rsidR="00B40FB2" w:rsidRPr="004E60EF" w:rsidRDefault="004123C2">
            <w:pPr>
              <w:numPr>
                <w:ilvl w:val="0"/>
                <w:numId w:val="3"/>
              </w:numPr>
              <w:spacing w:after="2"/>
              <w:ind w:hanging="360"/>
              <w:rPr>
                <w:rFonts w:ascii="IBM Plex Sans Light" w:hAnsi="IBM Plex Sans Light"/>
                <w:sz w:val="20"/>
                <w:szCs w:val="20"/>
              </w:rPr>
            </w:pPr>
            <w:r w:rsidRPr="004E60EF">
              <w:rPr>
                <w:rFonts w:ascii="IBM Plex Sans Light" w:hAnsi="IBM Plex Sans Light"/>
                <w:sz w:val="20"/>
                <w:szCs w:val="20"/>
              </w:rPr>
              <w:t xml:space="preserve">Appointment, removal and remuneration of CEO and Company Secretary </w:t>
            </w:r>
          </w:p>
          <w:p w14:paraId="1701B088" w14:textId="77777777" w:rsidR="00B40FB2" w:rsidRPr="004E60EF" w:rsidRDefault="004123C2">
            <w:pPr>
              <w:numPr>
                <w:ilvl w:val="0"/>
                <w:numId w:val="3"/>
              </w:numPr>
              <w:spacing w:after="28" w:line="253" w:lineRule="auto"/>
              <w:ind w:hanging="360"/>
              <w:rPr>
                <w:rFonts w:ascii="IBM Plex Sans Light" w:hAnsi="IBM Plex Sans Light"/>
                <w:sz w:val="20"/>
                <w:szCs w:val="20"/>
              </w:rPr>
            </w:pPr>
            <w:r w:rsidRPr="004E60EF">
              <w:rPr>
                <w:rFonts w:ascii="IBM Plex Sans Light" w:hAnsi="IBM Plex Sans Light"/>
                <w:sz w:val="20"/>
                <w:szCs w:val="20"/>
              </w:rPr>
              <w:t xml:space="preserve">Succession planning for Board positions and the “C-level” positions (CEO, CFO, CIO &amp; COO)  </w:t>
            </w:r>
          </w:p>
          <w:p w14:paraId="36DE022F" w14:textId="77777777" w:rsidR="00B40FB2" w:rsidRPr="004E60EF" w:rsidRDefault="004123C2">
            <w:pPr>
              <w:numPr>
                <w:ilvl w:val="0"/>
                <w:numId w:val="3"/>
              </w:numPr>
              <w:spacing w:after="0"/>
              <w:ind w:hanging="360"/>
              <w:rPr>
                <w:rFonts w:ascii="IBM Plex Sans Light" w:hAnsi="IBM Plex Sans Light"/>
                <w:sz w:val="20"/>
                <w:szCs w:val="20"/>
              </w:rPr>
            </w:pPr>
            <w:r w:rsidRPr="004E60EF">
              <w:rPr>
                <w:rFonts w:ascii="IBM Plex Sans Light" w:hAnsi="IBM Plex Sans Light"/>
                <w:sz w:val="20"/>
                <w:szCs w:val="20"/>
              </w:rPr>
              <w:t xml:space="preserve">Approval of or changes to the annual budget </w:t>
            </w:r>
          </w:p>
          <w:p w14:paraId="7E06A86D" w14:textId="77777777" w:rsidR="00B40FB2" w:rsidRPr="004E60EF" w:rsidRDefault="004123C2">
            <w:pPr>
              <w:numPr>
                <w:ilvl w:val="0"/>
                <w:numId w:val="3"/>
              </w:numPr>
              <w:spacing w:after="2"/>
              <w:ind w:hanging="360"/>
              <w:rPr>
                <w:rFonts w:ascii="IBM Plex Sans Light" w:hAnsi="IBM Plex Sans Light"/>
                <w:sz w:val="20"/>
                <w:szCs w:val="20"/>
              </w:rPr>
            </w:pPr>
            <w:r w:rsidRPr="004E60EF">
              <w:rPr>
                <w:rFonts w:ascii="IBM Plex Sans Light" w:hAnsi="IBM Plex Sans Light"/>
                <w:sz w:val="20"/>
                <w:szCs w:val="20"/>
              </w:rPr>
              <w:t xml:space="preserve">Releases to the ASX and media (excluding “routine” marketing releases) </w:t>
            </w:r>
          </w:p>
          <w:p w14:paraId="60785841" w14:textId="77777777" w:rsidR="00B40FB2" w:rsidRPr="004E60EF" w:rsidRDefault="004123C2">
            <w:pPr>
              <w:numPr>
                <w:ilvl w:val="0"/>
                <w:numId w:val="3"/>
              </w:numPr>
              <w:spacing w:after="135" w:line="258" w:lineRule="auto"/>
              <w:ind w:hanging="360"/>
              <w:rPr>
                <w:rFonts w:ascii="IBM Plex Sans Light" w:hAnsi="IBM Plex Sans Light"/>
                <w:sz w:val="20"/>
                <w:szCs w:val="20"/>
              </w:rPr>
            </w:pPr>
            <w:r w:rsidRPr="004E60EF">
              <w:rPr>
                <w:rFonts w:ascii="IBM Plex Sans Light" w:hAnsi="IBM Plex Sans Light"/>
                <w:sz w:val="20"/>
                <w:szCs w:val="20"/>
              </w:rPr>
              <w:t xml:space="preserve">All matters with the potential to have a material impact on the reputation of the organisation </w:t>
            </w:r>
          </w:p>
          <w:p w14:paraId="03DE9CCB" w14:textId="77777777" w:rsidR="00B40FB2" w:rsidRPr="004E60EF" w:rsidRDefault="004123C2">
            <w:pPr>
              <w:spacing w:after="120" w:line="237" w:lineRule="auto"/>
              <w:ind w:left="2" w:right="9" w:firstLine="0"/>
              <w:rPr>
                <w:rFonts w:ascii="IBM Plex Sans Light" w:hAnsi="IBM Plex Sans Light"/>
              </w:rPr>
            </w:pPr>
            <w:r w:rsidRPr="004E60EF">
              <w:rPr>
                <w:rFonts w:ascii="IBM Plex Sans Light" w:hAnsi="IBM Plex Sans Light"/>
                <w:sz w:val="20"/>
              </w:rPr>
              <w:t xml:space="preserve">The Board comprises both independent and non-independent directors who bring an appropriate range of skills, experience and expertise together with a proper understanding of, and competence to deal with, current and emerging issues to guide the business. The current Board of Directors is listed within the Company’s </w:t>
            </w:r>
            <w:hyperlink r:id="rId8">
              <w:r w:rsidRPr="004E60EF">
                <w:rPr>
                  <w:rFonts w:ascii="IBM Plex Sans Light" w:hAnsi="IBM Plex Sans Light"/>
                  <w:color w:val="0000FF"/>
                  <w:sz w:val="20"/>
                  <w:u w:val="single" w:color="0000FF"/>
                </w:rPr>
                <w:t>website</w:t>
              </w:r>
            </w:hyperlink>
            <w:hyperlink r:id="rId9">
              <w:r w:rsidRPr="004E60EF">
                <w:rPr>
                  <w:rFonts w:ascii="IBM Plex Sans Light" w:hAnsi="IBM Plex Sans Light"/>
                  <w:sz w:val="20"/>
                </w:rPr>
                <w:t>.</w:t>
              </w:r>
            </w:hyperlink>
            <w:hyperlink r:id="rId10">
              <w:r w:rsidRPr="004E60EF">
                <w:rPr>
                  <w:rFonts w:ascii="IBM Plex Sans Light" w:hAnsi="IBM Plex Sans Light"/>
                  <w:sz w:val="20"/>
                </w:rPr>
                <w:t xml:space="preserve"> </w:t>
              </w:r>
            </w:hyperlink>
            <w:r w:rsidRPr="004E60EF">
              <w:rPr>
                <w:rFonts w:ascii="IBM Plex Sans Light" w:hAnsi="IBM Plex Sans Light"/>
                <w:sz w:val="20"/>
              </w:rPr>
              <w:t xml:space="preserve"> </w:t>
            </w:r>
          </w:p>
          <w:p w14:paraId="0E31CFCC" w14:textId="77777777" w:rsidR="00B40FB2" w:rsidRPr="004E60EF" w:rsidRDefault="004123C2">
            <w:pPr>
              <w:spacing w:after="0"/>
              <w:ind w:left="2" w:firstLine="0"/>
              <w:rPr>
                <w:rFonts w:ascii="IBM Plex Sans Light" w:hAnsi="IBM Plex Sans Light"/>
              </w:rPr>
            </w:pPr>
            <w:r w:rsidRPr="004E60EF">
              <w:rPr>
                <w:rFonts w:ascii="IBM Plex Sans Light" w:hAnsi="IBM Plex Sans Light"/>
                <w:sz w:val="20"/>
              </w:rPr>
              <w:t xml:space="preserve">The Board has delegated responsibility for operation and administration of the Company to the Chief Executive Officer (CEO) and senior executives. </w:t>
            </w:r>
          </w:p>
        </w:tc>
      </w:tr>
    </w:tbl>
    <w:p w14:paraId="41446CF5" w14:textId="77777777" w:rsidR="00B40FB2" w:rsidRPr="00595F31" w:rsidRDefault="00B40FB2">
      <w:pPr>
        <w:spacing w:after="0"/>
        <w:ind w:left="-1440" w:right="15465" w:firstLine="0"/>
        <w:rPr>
          <w:rFonts w:ascii="Lato" w:hAnsi="Lato"/>
        </w:rPr>
      </w:pPr>
    </w:p>
    <w:tbl>
      <w:tblPr>
        <w:tblStyle w:val="TableGrid0"/>
        <w:tblW w:w="14036" w:type="dxa"/>
        <w:tblLook w:val="04A0" w:firstRow="1" w:lastRow="0" w:firstColumn="1" w:lastColumn="0" w:noHBand="0" w:noVBand="1"/>
      </w:tblPr>
      <w:tblGrid>
        <w:gridCol w:w="4705"/>
        <w:gridCol w:w="9331"/>
      </w:tblGrid>
      <w:tr w:rsidR="00B40FB2" w:rsidRPr="00595F31" w14:paraId="39A3AD00" w14:textId="77777777" w:rsidTr="00824355">
        <w:trPr>
          <w:trHeight w:val="2770"/>
        </w:trPr>
        <w:tc>
          <w:tcPr>
            <w:tcW w:w="4705" w:type="dxa"/>
          </w:tcPr>
          <w:p w14:paraId="7914D814" w14:textId="77777777" w:rsidR="00B40FB2" w:rsidRPr="00B204EF" w:rsidRDefault="004123C2">
            <w:pPr>
              <w:spacing w:after="117"/>
              <w:ind w:left="0" w:firstLine="0"/>
              <w:rPr>
                <w:rFonts w:ascii="IBM Plex Sans Light" w:hAnsi="IBM Plex Sans Light"/>
              </w:rPr>
            </w:pPr>
            <w:r w:rsidRPr="00B204EF">
              <w:rPr>
                <w:rFonts w:ascii="IBM Plex Sans Light" w:hAnsi="IBM Plex Sans Light"/>
                <w:sz w:val="20"/>
              </w:rPr>
              <w:lastRenderedPageBreak/>
              <w:t xml:space="preserve">1.2 A listed entity should: </w:t>
            </w:r>
          </w:p>
          <w:p w14:paraId="2FB278BE" w14:textId="77777777" w:rsidR="00B40FB2" w:rsidRPr="00B204EF" w:rsidRDefault="004123C2">
            <w:pPr>
              <w:numPr>
                <w:ilvl w:val="0"/>
                <w:numId w:val="4"/>
              </w:numPr>
              <w:spacing w:after="140" w:line="237" w:lineRule="auto"/>
              <w:ind w:right="16" w:hanging="360"/>
              <w:rPr>
                <w:rFonts w:ascii="IBM Plex Sans Light" w:hAnsi="IBM Plex Sans Light"/>
              </w:rPr>
            </w:pPr>
            <w:r w:rsidRPr="00B204EF">
              <w:rPr>
                <w:rFonts w:ascii="IBM Plex Sans Light" w:hAnsi="IBM Plex Sans Light"/>
                <w:sz w:val="20"/>
              </w:rPr>
              <w:t xml:space="preserve">undertake appropriate checks before appointing a person, or putting forward to security holders a candidate for election, as a director; and </w:t>
            </w:r>
          </w:p>
          <w:p w14:paraId="6CCEE611" w14:textId="77777777" w:rsidR="00B40FB2" w:rsidRPr="00B204EF" w:rsidRDefault="004123C2">
            <w:pPr>
              <w:numPr>
                <w:ilvl w:val="0"/>
                <w:numId w:val="4"/>
              </w:numPr>
              <w:spacing w:after="0"/>
              <w:ind w:right="16" w:hanging="360"/>
              <w:rPr>
                <w:rFonts w:ascii="IBM Plex Sans Light" w:hAnsi="IBM Plex Sans Light"/>
              </w:rPr>
            </w:pPr>
            <w:r w:rsidRPr="00B204EF">
              <w:rPr>
                <w:rFonts w:ascii="IBM Plex Sans Light" w:hAnsi="IBM Plex Sans Light"/>
                <w:sz w:val="20"/>
              </w:rPr>
              <w:t xml:space="preserve">provide security holders with all material information in its possession relevant to a decision on </w:t>
            </w:r>
            <w:proofErr w:type="gramStart"/>
            <w:r w:rsidRPr="00B204EF">
              <w:rPr>
                <w:rFonts w:ascii="IBM Plex Sans Light" w:hAnsi="IBM Plex Sans Light"/>
                <w:sz w:val="20"/>
              </w:rPr>
              <w:t>whether or not</w:t>
            </w:r>
            <w:proofErr w:type="gramEnd"/>
            <w:r w:rsidRPr="00B204EF">
              <w:rPr>
                <w:rFonts w:ascii="IBM Plex Sans Light" w:hAnsi="IBM Plex Sans Light"/>
                <w:sz w:val="20"/>
              </w:rPr>
              <w:t xml:space="preserve"> to elect or re-elect a director. </w:t>
            </w:r>
          </w:p>
        </w:tc>
        <w:tc>
          <w:tcPr>
            <w:tcW w:w="9331" w:type="dxa"/>
          </w:tcPr>
          <w:p w14:paraId="585CFA3C" w14:textId="77777777" w:rsidR="00B40FB2" w:rsidRPr="00F31E38" w:rsidRDefault="004123C2">
            <w:pPr>
              <w:spacing w:after="97"/>
              <w:ind w:left="2" w:firstLine="0"/>
              <w:rPr>
                <w:rFonts w:ascii="IBM Plex Sans Light" w:hAnsi="IBM Plex Sans Light"/>
                <w:b/>
                <w:bCs/>
              </w:rPr>
            </w:pPr>
            <w:r w:rsidRPr="00F31E38">
              <w:rPr>
                <w:rFonts w:ascii="IBM Plex Sans Light" w:hAnsi="IBM Plex Sans Light"/>
                <w:b/>
                <w:bCs/>
                <w:sz w:val="20"/>
              </w:rPr>
              <w:t>A process is undertaken for selecting directors for appointment to the Board</w:t>
            </w:r>
            <w:r w:rsidRPr="00F31E38">
              <w:rPr>
                <w:rFonts w:ascii="IBM Plex Sans Light" w:hAnsi="IBM Plex Sans Light"/>
                <w:b/>
                <w:bCs/>
                <w:color w:val="FF0000"/>
                <w:sz w:val="20"/>
              </w:rPr>
              <w:t xml:space="preserve">. </w:t>
            </w:r>
            <w:r w:rsidRPr="00F31E38">
              <w:rPr>
                <w:rFonts w:ascii="IBM Plex Sans Light" w:hAnsi="IBM Plex Sans Light"/>
                <w:b/>
                <w:bCs/>
                <w:sz w:val="20"/>
              </w:rPr>
              <w:t xml:space="preserve"> </w:t>
            </w:r>
          </w:p>
          <w:p w14:paraId="01F8A48B" w14:textId="77777777" w:rsidR="00B40FB2" w:rsidRPr="00F31E38" w:rsidRDefault="004123C2">
            <w:pPr>
              <w:spacing w:after="120" w:line="237" w:lineRule="auto"/>
              <w:ind w:left="2" w:firstLine="0"/>
              <w:rPr>
                <w:rFonts w:ascii="IBM Plex Sans Light" w:hAnsi="IBM Plex Sans Light"/>
                <w:b/>
                <w:bCs/>
              </w:rPr>
            </w:pPr>
            <w:r w:rsidRPr="00F31E38">
              <w:rPr>
                <w:rFonts w:ascii="IBM Plex Sans Light" w:hAnsi="IBM Plex Sans Light"/>
                <w:b/>
                <w:bCs/>
                <w:sz w:val="20"/>
              </w:rPr>
              <w:t xml:space="preserve">Before electing or re-electing a candidate as a director, the Board undertakes appropriate background checks to determine that candidate’s suitability.   </w:t>
            </w:r>
          </w:p>
          <w:p w14:paraId="3ACD2CAE" w14:textId="77777777" w:rsidR="00B40FB2" w:rsidRPr="00F31E38" w:rsidRDefault="004123C2">
            <w:pPr>
              <w:spacing w:after="121" w:line="237" w:lineRule="auto"/>
              <w:ind w:left="2" w:right="4" w:firstLine="0"/>
              <w:rPr>
                <w:rFonts w:ascii="IBM Plex Sans Light" w:hAnsi="IBM Plex Sans Light"/>
                <w:b/>
                <w:bCs/>
              </w:rPr>
            </w:pPr>
            <w:r w:rsidRPr="00F31E38">
              <w:rPr>
                <w:rFonts w:ascii="IBM Plex Sans Light" w:hAnsi="IBM Plex Sans Light"/>
                <w:b/>
                <w:bCs/>
                <w:sz w:val="20"/>
              </w:rPr>
              <w:t xml:space="preserve">The Board is responsible for ensuring that any Board nominated candidate put forward for election as a director, or re-election as a director, is of a high calibre, has appropriate experience, skills and integrity and is suitable to represent the Company and shareholders.  </w:t>
            </w:r>
          </w:p>
          <w:p w14:paraId="6C37F44A" w14:textId="77777777" w:rsidR="00B40FB2" w:rsidRPr="00B204EF" w:rsidRDefault="004123C2">
            <w:pPr>
              <w:spacing w:after="0"/>
              <w:ind w:left="2" w:firstLine="0"/>
              <w:rPr>
                <w:rFonts w:ascii="IBM Plex Sans Light" w:hAnsi="IBM Plex Sans Light"/>
              </w:rPr>
            </w:pPr>
            <w:r w:rsidRPr="00F31E38">
              <w:rPr>
                <w:rFonts w:ascii="IBM Plex Sans Light" w:hAnsi="IBM Plex Sans Light"/>
                <w:b/>
                <w:bCs/>
                <w:sz w:val="20"/>
              </w:rPr>
              <w:t xml:space="preserve">The Company provides shareholders with all material information in its possession relevant to a decision on </w:t>
            </w:r>
            <w:proofErr w:type="gramStart"/>
            <w:r w:rsidRPr="00F31E38">
              <w:rPr>
                <w:rFonts w:ascii="IBM Plex Sans Light" w:hAnsi="IBM Plex Sans Light"/>
                <w:b/>
                <w:bCs/>
                <w:sz w:val="20"/>
              </w:rPr>
              <w:t>whether or not</w:t>
            </w:r>
            <w:proofErr w:type="gramEnd"/>
            <w:r w:rsidRPr="00F31E38">
              <w:rPr>
                <w:rFonts w:ascii="IBM Plex Sans Light" w:hAnsi="IBM Plex Sans Light"/>
                <w:b/>
                <w:bCs/>
                <w:sz w:val="20"/>
              </w:rPr>
              <w:t xml:space="preserve"> to elect or re-elect a director. This information is provided in the notice for the Annual General Meeting.</w:t>
            </w:r>
            <w:r w:rsidRPr="00B204EF">
              <w:rPr>
                <w:rFonts w:ascii="IBM Plex Sans Light" w:hAnsi="IBM Plex Sans Light"/>
                <w:sz w:val="20"/>
              </w:rPr>
              <w:t xml:space="preserve"> </w:t>
            </w:r>
          </w:p>
        </w:tc>
      </w:tr>
      <w:tr w:rsidR="00B40FB2" w:rsidRPr="00595F31" w14:paraId="32340C7E" w14:textId="77777777" w:rsidTr="00824355">
        <w:trPr>
          <w:trHeight w:val="1570"/>
        </w:trPr>
        <w:tc>
          <w:tcPr>
            <w:tcW w:w="4705" w:type="dxa"/>
          </w:tcPr>
          <w:p w14:paraId="5730A50D" w14:textId="77777777" w:rsidR="00B40FB2" w:rsidRPr="00B204EF" w:rsidRDefault="004123C2">
            <w:pPr>
              <w:spacing w:after="0"/>
              <w:ind w:left="360" w:hanging="360"/>
              <w:rPr>
                <w:rFonts w:ascii="IBM Plex Sans Light" w:hAnsi="IBM Plex Sans Light"/>
              </w:rPr>
            </w:pPr>
            <w:r w:rsidRPr="00B204EF">
              <w:rPr>
                <w:rFonts w:ascii="IBM Plex Sans Light" w:hAnsi="IBM Plex Sans Light"/>
                <w:sz w:val="20"/>
              </w:rPr>
              <w:t xml:space="preserve">1.3 A listed entity should have a written agreement with each director and senior executive setting out the terms of their appointment. </w:t>
            </w:r>
          </w:p>
        </w:tc>
        <w:tc>
          <w:tcPr>
            <w:tcW w:w="9331" w:type="dxa"/>
          </w:tcPr>
          <w:p w14:paraId="0038CB94" w14:textId="6613523A" w:rsidR="00B40FB2" w:rsidRPr="00B204EF" w:rsidRDefault="005B6760" w:rsidP="005B6760">
            <w:pPr>
              <w:spacing w:after="120" w:line="237" w:lineRule="auto"/>
              <w:rPr>
                <w:rFonts w:ascii="IBM Plex Sans Light" w:hAnsi="IBM Plex Sans Light"/>
              </w:rPr>
            </w:pPr>
            <w:r>
              <w:rPr>
                <w:rFonts w:ascii="IBM Plex Sans Light" w:hAnsi="IBM Plex Sans Light"/>
                <w:sz w:val="20"/>
              </w:rPr>
              <w:t>Acumentis</w:t>
            </w:r>
            <w:r w:rsidR="004123C2" w:rsidRPr="00B204EF">
              <w:rPr>
                <w:rFonts w:ascii="IBM Plex Sans Light" w:hAnsi="IBM Plex Sans Light"/>
                <w:sz w:val="20"/>
              </w:rPr>
              <w:t xml:space="preserve"> has executed terms of appointment with non-executive directors and senior executives that, amongst other things, dictate duties and responsibilities of directors. </w:t>
            </w:r>
          </w:p>
          <w:p w14:paraId="1DE696CE" w14:textId="77777777" w:rsidR="00B40FB2" w:rsidRPr="00B204EF" w:rsidRDefault="004123C2">
            <w:pPr>
              <w:spacing w:after="0"/>
              <w:ind w:left="2" w:right="8" w:firstLine="0"/>
              <w:rPr>
                <w:rFonts w:ascii="IBM Plex Sans Light" w:hAnsi="IBM Plex Sans Light"/>
              </w:rPr>
            </w:pPr>
            <w:r w:rsidRPr="00B204EF">
              <w:rPr>
                <w:rFonts w:ascii="IBM Plex Sans Light" w:hAnsi="IBM Plex Sans Light"/>
                <w:sz w:val="20"/>
              </w:rPr>
              <w:t xml:space="preserve">All directors and senior executives are appointed pursuant to formal letters of appointment setting out the key terms and conditions of the appointment (including the time commitment envisaged, remuneration and other duties).  </w:t>
            </w:r>
          </w:p>
        </w:tc>
      </w:tr>
      <w:tr w:rsidR="00B40FB2" w:rsidRPr="00595F31" w14:paraId="68970F32" w14:textId="77777777" w:rsidTr="00824355">
        <w:trPr>
          <w:trHeight w:val="1569"/>
        </w:trPr>
        <w:tc>
          <w:tcPr>
            <w:tcW w:w="4705" w:type="dxa"/>
          </w:tcPr>
          <w:p w14:paraId="11D013B8" w14:textId="77777777" w:rsidR="00B40FB2" w:rsidRPr="00B204EF" w:rsidRDefault="004123C2">
            <w:pPr>
              <w:spacing w:after="0"/>
              <w:ind w:left="360" w:hanging="360"/>
              <w:rPr>
                <w:rFonts w:ascii="IBM Plex Sans Light" w:hAnsi="IBM Plex Sans Light"/>
              </w:rPr>
            </w:pPr>
            <w:r w:rsidRPr="00B204EF">
              <w:rPr>
                <w:rFonts w:ascii="IBM Plex Sans Light" w:hAnsi="IBM Plex Sans Light"/>
                <w:sz w:val="20"/>
              </w:rPr>
              <w:t xml:space="preserve">1.4 The company secretary of a listed entity should be accountable directly to the board, through the chair, on all matters to do with the proper functioning of the board. </w:t>
            </w:r>
          </w:p>
        </w:tc>
        <w:tc>
          <w:tcPr>
            <w:tcW w:w="9331" w:type="dxa"/>
          </w:tcPr>
          <w:p w14:paraId="76913A6E" w14:textId="77777777" w:rsidR="00B40FB2" w:rsidRPr="00B204EF" w:rsidRDefault="004123C2">
            <w:pPr>
              <w:spacing w:after="120" w:line="237" w:lineRule="auto"/>
              <w:ind w:left="2" w:firstLine="0"/>
              <w:rPr>
                <w:rFonts w:ascii="IBM Plex Sans Light" w:hAnsi="IBM Plex Sans Light"/>
              </w:rPr>
            </w:pPr>
            <w:r w:rsidRPr="00B204EF">
              <w:rPr>
                <w:rFonts w:ascii="IBM Plex Sans Light" w:hAnsi="IBM Plex Sans Light"/>
                <w:sz w:val="20"/>
              </w:rPr>
              <w:t xml:space="preserve">The Company Secretary is accountable to the Board, through the Chair, on all matters to do with the proper functioning of the Board.  </w:t>
            </w:r>
          </w:p>
          <w:p w14:paraId="3C7B7DD4" w14:textId="20C94B23" w:rsidR="00B40FB2" w:rsidRPr="00B204EF" w:rsidRDefault="004123C2">
            <w:pPr>
              <w:spacing w:after="0"/>
              <w:ind w:left="2" w:firstLine="0"/>
              <w:rPr>
                <w:rFonts w:ascii="IBM Plex Sans Light" w:hAnsi="IBM Plex Sans Light"/>
              </w:rPr>
            </w:pPr>
            <w:r w:rsidRPr="00B204EF">
              <w:rPr>
                <w:rFonts w:ascii="IBM Plex Sans Light" w:hAnsi="IBM Plex Sans Light"/>
                <w:sz w:val="20"/>
              </w:rPr>
              <w:t xml:space="preserve">All Directors have access to the Company Secretary. The Company Secretary of </w:t>
            </w:r>
            <w:r w:rsidR="005B6760">
              <w:rPr>
                <w:rFonts w:ascii="IBM Plex Sans Light" w:hAnsi="IBM Plex Sans Light"/>
                <w:sz w:val="20"/>
              </w:rPr>
              <w:t>Acumentis</w:t>
            </w:r>
            <w:r w:rsidRPr="00B204EF">
              <w:rPr>
                <w:rFonts w:ascii="IBM Plex Sans Light" w:hAnsi="IBM Plex Sans Light"/>
                <w:sz w:val="20"/>
              </w:rPr>
              <w:t xml:space="preserve"> is a member of the Executive Leadership Team. The qualifications and experience of the Company Secretary are set out on the </w:t>
            </w:r>
            <w:r w:rsidR="005B6760">
              <w:rPr>
                <w:rFonts w:ascii="IBM Plex Sans Light" w:hAnsi="IBM Plex Sans Light"/>
                <w:sz w:val="20"/>
              </w:rPr>
              <w:t>Acumentis</w:t>
            </w:r>
            <w:r w:rsidRPr="00B204EF">
              <w:rPr>
                <w:rFonts w:ascii="IBM Plex Sans Light" w:hAnsi="IBM Plex Sans Light"/>
                <w:sz w:val="20"/>
              </w:rPr>
              <w:t xml:space="preserve"> </w:t>
            </w:r>
            <w:r w:rsidR="005B6760">
              <w:rPr>
                <w:rFonts w:ascii="IBM Plex Sans Light" w:hAnsi="IBM Plex Sans Light"/>
              </w:rPr>
              <w:t>website.</w:t>
            </w:r>
            <w:r w:rsidRPr="00B204EF">
              <w:rPr>
                <w:rFonts w:ascii="IBM Plex Sans Light" w:hAnsi="IBM Plex Sans Light"/>
                <w:sz w:val="20"/>
              </w:rPr>
              <w:t xml:space="preserve"> </w:t>
            </w:r>
          </w:p>
        </w:tc>
      </w:tr>
    </w:tbl>
    <w:p w14:paraId="062EE18F" w14:textId="77777777" w:rsidR="00B40FB2" w:rsidRPr="00595F31" w:rsidRDefault="00B40FB2">
      <w:pPr>
        <w:spacing w:after="0"/>
        <w:ind w:left="-1440" w:right="15465" w:firstLine="0"/>
        <w:rPr>
          <w:rFonts w:ascii="Lato" w:hAnsi="Lato"/>
        </w:rPr>
      </w:pPr>
    </w:p>
    <w:tbl>
      <w:tblPr>
        <w:tblStyle w:val="TableGrid0"/>
        <w:tblW w:w="14036" w:type="dxa"/>
        <w:tblLook w:val="04A0" w:firstRow="1" w:lastRow="0" w:firstColumn="1" w:lastColumn="0" w:noHBand="0" w:noVBand="1"/>
      </w:tblPr>
      <w:tblGrid>
        <w:gridCol w:w="4705"/>
        <w:gridCol w:w="9331"/>
      </w:tblGrid>
      <w:tr w:rsidR="00B40FB2" w:rsidRPr="00F31E38" w14:paraId="1204C632" w14:textId="77777777" w:rsidTr="008B0A11">
        <w:trPr>
          <w:trHeight w:val="6371"/>
        </w:trPr>
        <w:tc>
          <w:tcPr>
            <w:tcW w:w="4705" w:type="dxa"/>
          </w:tcPr>
          <w:p w14:paraId="4F8FF01B" w14:textId="77777777" w:rsidR="00B40FB2" w:rsidRPr="00F31E38" w:rsidRDefault="004123C2">
            <w:pPr>
              <w:spacing w:after="117"/>
              <w:ind w:left="0" w:firstLine="0"/>
              <w:rPr>
                <w:rFonts w:ascii="IBM Plex Sans Light" w:hAnsi="IBM Plex Sans Light"/>
                <w:b/>
                <w:bCs/>
              </w:rPr>
            </w:pPr>
            <w:r w:rsidRPr="00F31E38">
              <w:rPr>
                <w:rFonts w:ascii="IBM Plex Sans Light" w:hAnsi="IBM Plex Sans Light"/>
                <w:sz w:val="20"/>
              </w:rPr>
              <w:lastRenderedPageBreak/>
              <w:t>1</w:t>
            </w:r>
            <w:r w:rsidRPr="00F31E38">
              <w:rPr>
                <w:rFonts w:ascii="IBM Plex Sans Light" w:hAnsi="IBM Plex Sans Light"/>
                <w:b/>
                <w:bCs/>
                <w:sz w:val="20"/>
              </w:rPr>
              <w:t xml:space="preserve">.5 A listed entity should: </w:t>
            </w:r>
          </w:p>
          <w:p w14:paraId="5FFB2EBF" w14:textId="77777777" w:rsidR="00B40FB2" w:rsidRPr="00F31E38" w:rsidRDefault="004123C2">
            <w:pPr>
              <w:numPr>
                <w:ilvl w:val="0"/>
                <w:numId w:val="5"/>
              </w:numPr>
              <w:spacing w:after="140" w:line="237" w:lineRule="auto"/>
              <w:ind w:hanging="360"/>
              <w:rPr>
                <w:rFonts w:ascii="IBM Plex Sans Light" w:hAnsi="IBM Plex Sans Light"/>
                <w:b/>
                <w:bCs/>
              </w:rPr>
            </w:pPr>
            <w:r w:rsidRPr="00F31E38">
              <w:rPr>
                <w:rFonts w:ascii="IBM Plex Sans Light" w:hAnsi="IBM Plex Sans Light"/>
                <w:b/>
                <w:bCs/>
                <w:sz w:val="20"/>
              </w:rPr>
              <w:t xml:space="preserve">have a diversity policy which includes requirements for the board or a relevant committee of the board to set measurable objectives for achieving gender diversity and to assess annually both the objectives and the entity's progress in achieving them; </w:t>
            </w:r>
          </w:p>
          <w:p w14:paraId="423D47A7" w14:textId="77777777" w:rsidR="00B40FB2" w:rsidRPr="00F31E38" w:rsidRDefault="004123C2">
            <w:pPr>
              <w:numPr>
                <w:ilvl w:val="0"/>
                <w:numId w:val="5"/>
              </w:numPr>
              <w:spacing w:after="117"/>
              <w:ind w:hanging="360"/>
              <w:rPr>
                <w:rFonts w:ascii="IBM Plex Sans Light" w:hAnsi="IBM Plex Sans Light"/>
                <w:b/>
                <w:bCs/>
              </w:rPr>
            </w:pPr>
            <w:r w:rsidRPr="00F31E38">
              <w:rPr>
                <w:rFonts w:ascii="IBM Plex Sans Light" w:hAnsi="IBM Plex Sans Light"/>
                <w:b/>
                <w:bCs/>
                <w:sz w:val="20"/>
              </w:rPr>
              <w:t xml:space="preserve">disclose that policy or a summary of it; and </w:t>
            </w:r>
          </w:p>
          <w:p w14:paraId="43F2AB95" w14:textId="77777777" w:rsidR="00B40FB2" w:rsidRPr="00F31E38" w:rsidRDefault="004123C2">
            <w:pPr>
              <w:numPr>
                <w:ilvl w:val="0"/>
                <w:numId w:val="5"/>
              </w:numPr>
              <w:spacing w:after="0" w:line="237" w:lineRule="auto"/>
              <w:ind w:hanging="360"/>
              <w:rPr>
                <w:rFonts w:ascii="IBM Plex Sans Light" w:hAnsi="IBM Plex Sans Light"/>
                <w:b/>
                <w:bCs/>
              </w:rPr>
            </w:pPr>
            <w:r w:rsidRPr="00F31E38">
              <w:rPr>
                <w:rFonts w:ascii="IBM Plex Sans Light" w:hAnsi="IBM Plex Sans Light"/>
                <w:b/>
                <w:bCs/>
                <w:sz w:val="20"/>
              </w:rPr>
              <w:t xml:space="preserve">disclose as at the end of each reporting period the measurable objectives for achieving gender diversity set by the board or a relevant committee of the board in accordance with the </w:t>
            </w:r>
          </w:p>
          <w:p w14:paraId="4FAD4BC5" w14:textId="77777777" w:rsidR="00B40FB2" w:rsidRPr="00F31E38" w:rsidRDefault="004123C2">
            <w:pPr>
              <w:spacing w:after="120" w:line="237" w:lineRule="auto"/>
              <w:ind w:left="360" w:right="41" w:firstLine="0"/>
              <w:rPr>
                <w:rFonts w:ascii="IBM Plex Sans Light" w:hAnsi="IBM Plex Sans Light"/>
                <w:b/>
                <w:bCs/>
              </w:rPr>
            </w:pPr>
            <w:r w:rsidRPr="00F31E38">
              <w:rPr>
                <w:rFonts w:ascii="IBM Plex Sans Light" w:hAnsi="IBM Plex Sans Light"/>
                <w:b/>
                <w:bCs/>
                <w:sz w:val="20"/>
              </w:rPr>
              <w:t xml:space="preserve">entity's diversity policy and its progress towards achieving them, and either: </w:t>
            </w:r>
          </w:p>
          <w:p w14:paraId="464099D6" w14:textId="77777777" w:rsidR="00B40FB2" w:rsidRPr="00F31E38" w:rsidRDefault="004123C2">
            <w:pPr>
              <w:numPr>
                <w:ilvl w:val="1"/>
                <w:numId w:val="5"/>
              </w:numPr>
              <w:spacing w:after="120" w:line="237" w:lineRule="auto"/>
              <w:ind w:firstLine="0"/>
              <w:rPr>
                <w:rFonts w:ascii="IBM Plex Sans Light" w:hAnsi="IBM Plex Sans Light"/>
                <w:b/>
                <w:bCs/>
              </w:rPr>
            </w:pPr>
            <w:r w:rsidRPr="00F31E38">
              <w:rPr>
                <w:rFonts w:ascii="IBM Plex Sans Light" w:hAnsi="IBM Plex Sans Light"/>
                <w:b/>
                <w:bCs/>
                <w:sz w:val="20"/>
              </w:rPr>
              <w:t xml:space="preserve">the respective proportions of men and women on the board, in senior executive positions and across the whole organisation (including how the entity has defined "senior executive" for these purposes); or </w:t>
            </w:r>
          </w:p>
          <w:p w14:paraId="375A7558" w14:textId="77777777" w:rsidR="00B40FB2" w:rsidRPr="00F31E38" w:rsidRDefault="004123C2">
            <w:pPr>
              <w:numPr>
                <w:ilvl w:val="1"/>
                <w:numId w:val="5"/>
              </w:numPr>
              <w:spacing w:after="0"/>
              <w:ind w:firstLine="0"/>
              <w:rPr>
                <w:rFonts w:ascii="IBM Plex Sans Light" w:hAnsi="IBM Plex Sans Light"/>
              </w:rPr>
            </w:pPr>
            <w:r w:rsidRPr="00F31E38">
              <w:rPr>
                <w:rFonts w:ascii="IBM Plex Sans Light" w:hAnsi="IBM Plex Sans Light"/>
                <w:b/>
                <w:bCs/>
                <w:sz w:val="20"/>
              </w:rPr>
              <w:t>if the entity is a "relevant employer" under the Workplace Gender Equality Act, the entity's most recent "Gender Equality Indicators", as defined in and published under that Act.</w:t>
            </w:r>
            <w:r w:rsidRPr="00F31E38">
              <w:rPr>
                <w:rFonts w:ascii="IBM Plex Sans Light" w:hAnsi="IBM Plex Sans Light"/>
                <w:sz w:val="20"/>
              </w:rPr>
              <w:t xml:space="preserve"> </w:t>
            </w:r>
          </w:p>
        </w:tc>
        <w:tc>
          <w:tcPr>
            <w:tcW w:w="9331" w:type="dxa"/>
          </w:tcPr>
          <w:p w14:paraId="24547934"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Board and Executive Leadership Team are committed to workforce diversity and consider it an investment in the creation of a sustainable business capable of delivering long term shareholder value.  </w:t>
            </w:r>
          </w:p>
          <w:p w14:paraId="57BA7743" w14:textId="0204205E" w:rsidR="00B40FB2" w:rsidRPr="00F31E38" w:rsidRDefault="005B6760">
            <w:pPr>
              <w:spacing w:after="120" w:line="237" w:lineRule="auto"/>
              <w:ind w:left="2" w:firstLine="0"/>
              <w:rPr>
                <w:rFonts w:ascii="IBM Plex Sans Light" w:hAnsi="IBM Plex Sans Light"/>
              </w:rPr>
            </w:pPr>
            <w:r>
              <w:rPr>
                <w:rFonts w:ascii="IBM Plex Sans Light" w:hAnsi="IBM Plex Sans Light"/>
                <w:sz w:val="20"/>
              </w:rPr>
              <w:t>Acumentis’</w:t>
            </w:r>
            <w:r w:rsidR="004123C2" w:rsidRPr="00F31E38">
              <w:rPr>
                <w:rFonts w:ascii="IBM Plex Sans Light" w:hAnsi="IBM Plex Sans Light"/>
                <w:sz w:val="20"/>
              </w:rPr>
              <w:t xml:space="preserve"> Diversity Policy includes requirements for the Board to establish measurable objectives towards achieving gender equality and diversity. The Board will assess and report annually on the diversity objectives and the progress towards achieving them.   </w:t>
            </w:r>
          </w:p>
          <w:p w14:paraId="277E2819" w14:textId="21F3084F" w:rsidR="00B40FB2" w:rsidRPr="00F31E38" w:rsidRDefault="004123C2">
            <w:pPr>
              <w:spacing w:after="98"/>
              <w:ind w:left="2" w:firstLine="0"/>
              <w:rPr>
                <w:rFonts w:ascii="IBM Plex Sans Light" w:hAnsi="IBM Plex Sans Light"/>
              </w:rPr>
            </w:pPr>
            <w:r w:rsidRPr="00F31E38">
              <w:rPr>
                <w:rFonts w:ascii="IBM Plex Sans Light" w:hAnsi="IBM Plex Sans Light"/>
                <w:sz w:val="20"/>
              </w:rPr>
              <w:t xml:space="preserve">A copy of the </w:t>
            </w:r>
            <w:hyperlink r:id="rId11">
              <w:r w:rsidRPr="00F31E38">
                <w:rPr>
                  <w:rFonts w:ascii="IBM Plex Sans Light" w:hAnsi="IBM Plex Sans Light"/>
                  <w:color w:val="0000FF"/>
                  <w:sz w:val="20"/>
                  <w:u w:val="single" w:color="0000FF"/>
                </w:rPr>
                <w:t xml:space="preserve">Diversity Policy </w:t>
              </w:r>
            </w:hyperlink>
            <w:hyperlink r:id="rId12">
              <w:r w:rsidRPr="00F31E38">
                <w:rPr>
                  <w:rFonts w:ascii="IBM Plex Sans Light" w:hAnsi="IBM Plex Sans Light"/>
                  <w:sz w:val="20"/>
                </w:rPr>
                <w:t>i</w:t>
              </w:r>
            </w:hyperlink>
            <w:r w:rsidRPr="00F31E38">
              <w:rPr>
                <w:rFonts w:ascii="IBM Plex Sans Light" w:hAnsi="IBM Plex Sans Light"/>
                <w:sz w:val="20"/>
              </w:rPr>
              <w:t xml:space="preserve">s available on the </w:t>
            </w:r>
            <w:r w:rsidR="005B6760">
              <w:rPr>
                <w:rFonts w:ascii="IBM Plex Sans Light" w:hAnsi="IBM Plex Sans Light"/>
                <w:sz w:val="20"/>
              </w:rPr>
              <w:t>Acumentis</w:t>
            </w:r>
            <w:r w:rsidR="0078537D">
              <w:rPr>
                <w:rFonts w:ascii="IBM Plex Sans Light" w:hAnsi="IBM Plex Sans Light"/>
                <w:sz w:val="20"/>
              </w:rPr>
              <w:t xml:space="preserve"> </w:t>
            </w:r>
            <w:r w:rsidRPr="00F31E38">
              <w:rPr>
                <w:rFonts w:ascii="IBM Plex Sans Light" w:hAnsi="IBM Plex Sans Light"/>
                <w:sz w:val="20"/>
              </w:rPr>
              <w:t xml:space="preserve">website.  </w:t>
            </w:r>
          </w:p>
          <w:p w14:paraId="2DD509FF" w14:textId="48F8555F" w:rsidR="00B40FB2" w:rsidRPr="00F31E38" w:rsidRDefault="0078537D">
            <w:pPr>
              <w:spacing w:after="120" w:line="237" w:lineRule="auto"/>
              <w:ind w:left="2" w:firstLine="0"/>
              <w:rPr>
                <w:rFonts w:ascii="IBM Plex Sans Light" w:hAnsi="IBM Plex Sans Light"/>
              </w:rPr>
            </w:pPr>
            <w:r>
              <w:rPr>
                <w:rFonts w:ascii="IBM Plex Sans Light" w:hAnsi="IBM Plex Sans Light"/>
                <w:sz w:val="20"/>
              </w:rPr>
              <w:t xml:space="preserve">Acumentis </w:t>
            </w:r>
            <w:r w:rsidR="004123C2" w:rsidRPr="00F31E38">
              <w:rPr>
                <w:rFonts w:ascii="IBM Plex Sans Light" w:hAnsi="IBM Plex Sans Light"/>
                <w:sz w:val="20"/>
              </w:rPr>
              <w:t xml:space="preserve">would prefer its workforce to reflect the diversity of our population, however, as a microcap professional service organisation, it is limited to recruiting from the available talent pool. In our specialist area of property valuation and advisory services, this pool of qualified candidates does not currently reflect significant gender or other diversity. Until it does, setting a measurable diversity objective would not be possible for the Company.  </w:t>
            </w:r>
          </w:p>
          <w:p w14:paraId="60ED36FA"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As such, the Board has elected not to implement ASX Best Practice Recommendation 1.5 (c) which recommends the setting of such objectives.  </w:t>
            </w:r>
          </w:p>
          <w:p w14:paraId="07630FA2"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Company does not currently have any females on the Board and has no female members of the executive leadership team.  </w:t>
            </w:r>
          </w:p>
          <w:p w14:paraId="7E5B6229" w14:textId="77777777" w:rsidR="00B40FB2" w:rsidRPr="00F31E38" w:rsidRDefault="004123C2">
            <w:pPr>
              <w:spacing w:after="97"/>
              <w:ind w:left="2" w:firstLine="0"/>
              <w:rPr>
                <w:rFonts w:ascii="IBM Plex Sans Light" w:hAnsi="IBM Plex Sans Light"/>
              </w:rPr>
            </w:pPr>
            <w:r w:rsidRPr="00F31E38">
              <w:rPr>
                <w:rFonts w:ascii="IBM Plex Sans Light" w:hAnsi="IBM Plex Sans Light"/>
                <w:sz w:val="20"/>
              </w:rPr>
              <w:t xml:space="preserve">The Company is a relevant employer under the Workplace Gender Equality Act. </w:t>
            </w:r>
          </w:p>
          <w:p w14:paraId="12D1B476" w14:textId="77777777" w:rsidR="00B40FB2" w:rsidRPr="00F31E38" w:rsidRDefault="004123C2">
            <w:pPr>
              <w:spacing w:after="0"/>
              <w:ind w:left="2" w:firstLine="0"/>
              <w:rPr>
                <w:rFonts w:ascii="IBM Plex Sans Light" w:hAnsi="IBM Plex Sans Light"/>
              </w:rPr>
            </w:pPr>
            <w:r w:rsidRPr="00F31E38">
              <w:rPr>
                <w:rFonts w:ascii="IBM Plex Sans Light" w:hAnsi="IBM Plex Sans Light"/>
                <w:sz w:val="20"/>
              </w:rPr>
              <w:t xml:space="preserve">The Board will endeavour to increase its diversity when undertaking new Director appointments.  </w:t>
            </w:r>
          </w:p>
        </w:tc>
      </w:tr>
      <w:tr w:rsidR="00B40FB2" w:rsidRPr="00F31E38" w14:paraId="27D6B045" w14:textId="77777777" w:rsidTr="008B0A11">
        <w:trPr>
          <w:trHeight w:val="2409"/>
        </w:trPr>
        <w:tc>
          <w:tcPr>
            <w:tcW w:w="4705" w:type="dxa"/>
          </w:tcPr>
          <w:p w14:paraId="5C342FE6" w14:textId="77777777" w:rsidR="00B40FB2" w:rsidRPr="00F31E38" w:rsidRDefault="004123C2">
            <w:pPr>
              <w:spacing w:after="117"/>
              <w:ind w:left="0" w:firstLine="0"/>
              <w:rPr>
                <w:rFonts w:ascii="IBM Plex Sans Light" w:hAnsi="IBM Plex Sans Light"/>
                <w:b/>
                <w:bCs/>
              </w:rPr>
            </w:pPr>
            <w:r w:rsidRPr="00F31E38">
              <w:rPr>
                <w:rFonts w:ascii="IBM Plex Sans Light" w:hAnsi="IBM Plex Sans Light"/>
                <w:b/>
                <w:bCs/>
                <w:sz w:val="20"/>
              </w:rPr>
              <w:lastRenderedPageBreak/>
              <w:t xml:space="preserve">1.6 A listed entity should: </w:t>
            </w:r>
          </w:p>
          <w:p w14:paraId="591E6C2F" w14:textId="77777777" w:rsidR="00B40FB2" w:rsidRPr="00F31E38" w:rsidRDefault="004123C2">
            <w:pPr>
              <w:numPr>
                <w:ilvl w:val="0"/>
                <w:numId w:val="6"/>
              </w:numPr>
              <w:spacing w:after="139" w:line="237" w:lineRule="auto"/>
              <w:ind w:hanging="360"/>
              <w:rPr>
                <w:rFonts w:ascii="IBM Plex Sans Light" w:hAnsi="IBM Plex Sans Light"/>
                <w:b/>
                <w:bCs/>
              </w:rPr>
            </w:pPr>
            <w:r w:rsidRPr="00F31E38">
              <w:rPr>
                <w:rFonts w:ascii="IBM Plex Sans Light" w:hAnsi="IBM Plex Sans Light"/>
                <w:b/>
                <w:bCs/>
                <w:sz w:val="20"/>
              </w:rPr>
              <w:t xml:space="preserve">have and disclose a process for periodically evaluating the performance of the board, its committees and individual directors; and </w:t>
            </w:r>
          </w:p>
          <w:p w14:paraId="7F293AE9" w14:textId="77777777" w:rsidR="00B40FB2" w:rsidRPr="00F31E38" w:rsidRDefault="004123C2">
            <w:pPr>
              <w:numPr>
                <w:ilvl w:val="0"/>
                <w:numId w:val="6"/>
              </w:numPr>
              <w:spacing w:after="0"/>
              <w:ind w:hanging="360"/>
              <w:rPr>
                <w:rFonts w:ascii="IBM Plex Sans Light" w:hAnsi="IBM Plex Sans Light"/>
              </w:rPr>
            </w:pPr>
            <w:r w:rsidRPr="00F31E38">
              <w:rPr>
                <w:rFonts w:ascii="IBM Plex Sans Light" w:hAnsi="IBM Plex Sans Light"/>
                <w:b/>
                <w:bCs/>
                <w:sz w:val="20"/>
              </w:rPr>
              <w:t>disclose, in relation to each reporting period, whether a performance evaluation was undertaken in the reporting period in accordance with that process.</w:t>
            </w:r>
            <w:r w:rsidRPr="00F31E38">
              <w:rPr>
                <w:rFonts w:ascii="IBM Plex Sans Light" w:hAnsi="IBM Plex Sans Light"/>
                <w:sz w:val="20"/>
              </w:rPr>
              <w:t xml:space="preserve"> </w:t>
            </w:r>
          </w:p>
        </w:tc>
        <w:tc>
          <w:tcPr>
            <w:tcW w:w="9331" w:type="dxa"/>
          </w:tcPr>
          <w:p w14:paraId="6BC5F5CD" w14:textId="77777777" w:rsidR="00B40FB2" w:rsidRPr="00F31E38" w:rsidRDefault="004123C2">
            <w:pPr>
              <w:spacing w:after="121" w:line="237" w:lineRule="auto"/>
              <w:ind w:left="2" w:firstLine="0"/>
              <w:rPr>
                <w:rFonts w:ascii="IBM Plex Sans Light" w:hAnsi="IBM Plex Sans Light"/>
              </w:rPr>
            </w:pPr>
            <w:r w:rsidRPr="00F31E38">
              <w:rPr>
                <w:rFonts w:ascii="IBM Plex Sans Light" w:hAnsi="IBM Plex Sans Light"/>
                <w:sz w:val="20"/>
              </w:rPr>
              <w:t xml:space="preserve">The Board aims to review its performance annually including; the performance of the Committees; the performance of individual Directors; and the performance of the Chair of the Board.  </w:t>
            </w:r>
          </w:p>
          <w:p w14:paraId="2473AEBD" w14:textId="77777777" w:rsidR="00B40FB2" w:rsidRPr="00F31E38" w:rsidRDefault="004123C2">
            <w:pPr>
              <w:spacing w:after="97"/>
              <w:ind w:left="2" w:firstLine="0"/>
              <w:rPr>
                <w:rFonts w:ascii="IBM Plex Sans Light" w:hAnsi="IBM Plex Sans Light"/>
              </w:rPr>
            </w:pPr>
            <w:r w:rsidRPr="00F31E38">
              <w:rPr>
                <w:rFonts w:ascii="IBM Plex Sans Light" w:hAnsi="IBM Plex Sans Light"/>
                <w:sz w:val="20"/>
              </w:rPr>
              <w:t xml:space="preserve">The most recent evaluation was internal and conducted in May 2018. </w:t>
            </w:r>
          </w:p>
          <w:p w14:paraId="0503467B" w14:textId="77777777" w:rsidR="00B40FB2" w:rsidRPr="00F31E38" w:rsidRDefault="004123C2">
            <w:pPr>
              <w:spacing w:after="97"/>
              <w:ind w:left="2" w:firstLine="0"/>
              <w:rPr>
                <w:rFonts w:ascii="IBM Plex Sans Light" w:hAnsi="IBM Plex Sans Light"/>
              </w:rPr>
            </w:pPr>
            <w:r w:rsidRPr="00F31E38">
              <w:rPr>
                <w:rFonts w:ascii="IBM Plex Sans Light" w:hAnsi="IBM Plex Sans Light"/>
                <w:sz w:val="20"/>
              </w:rPr>
              <w:t xml:space="preserve"> </w:t>
            </w:r>
          </w:p>
          <w:p w14:paraId="69B38A8A" w14:textId="77777777" w:rsidR="00B40FB2" w:rsidRPr="00F31E38" w:rsidRDefault="004123C2">
            <w:pPr>
              <w:spacing w:after="0"/>
              <w:ind w:left="2" w:firstLine="0"/>
              <w:rPr>
                <w:rFonts w:ascii="IBM Plex Sans Light" w:hAnsi="IBM Plex Sans Light"/>
              </w:rPr>
            </w:pPr>
            <w:r w:rsidRPr="00F31E38">
              <w:rPr>
                <w:rFonts w:ascii="IBM Plex Sans Light" w:hAnsi="IBM Plex Sans Light"/>
                <w:sz w:val="20"/>
              </w:rPr>
              <w:t xml:space="preserve"> </w:t>
            </w:r>
          </w:p>
        </w:tc>
      </w:tr>
      <w:tr w:rsidR="00B40FB2" w:rsidRPr="00F31E38" w14:paraId="57E84641" w14:textId="77777777" w:rsidTr="008B0A11">
        <w:trPr>
          <w:trHeight w:val="2409"/>
        </w:trPr>
        <w:tc>
          <w:tcPr>
            <w:tcW w:w="4705" w:type="dxa"/>
          </w:tcPr>
          <w:p w14:paraId="7234FC43" w14:textId="77777777" w:rsidR="00B40FB2" w:rsidRPr="00F31E38" w:rsidRDefault="004123C2">
            <w:pPr>
              <w:spacing w:after="117"/>
              <w:ind w:left="0" w:firstLine="0"/>
              <w:rPr>
                <w:rFonts w:ascii="IBM Plex Sans Light" w:hAnsi="IBM Plex Sans Light"/>
                <w:b/>
                <w:bCs/>
              </w:rPr>
            </w:pPr>
            <w:r w:rsidRPr="00F31E38">
              <w:rPr>
                <w:rFonts w:ascii="IBM Plex Sans Light" w:hAnsi="IBM Plex Sans Light"/>
                <w:b/>
                <w:bCs/>
                <w:sz w:val="20"/>
              </w:rPr>
              <w:t xml:space="preserve">1.7 A listed entity should: </w:t>
            </w:r>
          </w:p>
          <w:p w14:paraId="75BE9531" w14:textId="77777777" w:rsidR="00B40FB2" w:rsidRPr="00F31E38" w:rsidRDefault="004123C2">
            <w:pPr>
              <w:numPr>
                <w:ilvl w:val="0"/>
                <w:numId w:val="7"/>
              </w:numPr>
              <w:spacing w:after="140" w:line="237" w:lineRule="auto"/>
              <w:ind w:hanging="360"/>
              <w:rPr>
                <w:rFonts w:ascii="IBM Plex Sans Light" w:hAnsi="IBM Plex Sans Light"/>
                <w:b/>
                <w:bCs/>
              </w:rPr>
            </w:pPr>
            <w:r w:rsidRPr="00F31E38">
              <w:rPr>
                <w:rFonts w:ascii="IBM Plex Sans Light" w:hAnsi="IBM Plex Sans Light"/>
                <w:b/>
                <w:bCs/>
                <w:sz w:val="20"/>
              </w:rPr>
              <w:t xml:space="preserve">have and disclose a process for periodically evaluating the performance of its senior executives; and </w:t>
            </w:r>
          </w:p>
          <w:p w14:paraId="2B6E6693" w14:textId="77777777" w:rsidR="00B40FB2" w:rsidRPr="00F31E38" w:rsidRDefault="004123C2">
            <w:pPr>
              <w:numPr>
                <w:ilvl w:val="0"/>
                <w:numId w:val="7"/>
              </w:numPr>
              <w:spacing w:after="0"/>
              <w:ind w:hanging="360"/>
              <w:rPr>
                <w:rFonts w:ascii="IBM Plex Sans Light" w:hAnsi="IBM Plex Sans Light"/>
              </w:rPr>
            </w:pPr>
            <w:r w:rsidRPr="00F31E38">
              <w:rPr>
                <w:rFonts w:ascii="IBM Plex Sans Light" w:hAnsi="IBM Plex Sans Light"/>
                <w:b/>
                <w:bCs/>
                <w:sz w:val="20"/>
              </w:rPr>
              <w:t>disclose, in relation to each reporting period, whether a performance evaluation was undertaken in the reporting period in accordance with that process.</w:t>
            </w:r>
            <w:r w:rsidRPr="00F31E38">
              <w:rPr>
                <w:rFonts w:ascii="IBM Plex Sans Light" w:hAnsi="IBM Plex Sans Light"/>
                <w:sz w:val="20"/>
              </w:rPr>
              <w:t xml:space="preserve"> </w:t>
            </w:r>
          </w:p>
        </w:tc>
        <w:tc>
          <w:tcPr>
            <w:tcW w:w="9331" w:type="dxa"/>
          </w:tcPr>
          <w:p w14:paraId="4561CCED"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process for monitoring and evaluating the performance of senior executives is detailed in the annual Remuneration Report contained in the </w:t>
            </w:r>
            <w:hyperlink r:id="rId13">
              <w:r w:rsidRPr="00F31E38">
                <w:rPr>
                  <w:rFonts w:ascii="IBM Plex Sans Light" w:hAnsi="IBM Plex Sans Light"/>
                  <w:color w:val="0000FF"/>
                  <w:sz w:val="20"/>
                  <w:u w:val="single" w:color="0000FF"/>
                </w:rPr>
                <w:t>Annual Report</w:t>
              </w:r>
            </w:hyperlink>
            <w:hyperlink r:id="rId14">
              <w:r w:rsidRPr="00F31E38">
                <w:rPr>
                  <w:rFonts w:ascii="IBM Plex Sans Light" w:hAnsi="IBM Plex Sans Light"/>
                  <w:sz w:val="20"/>
                </w:rPr>
                <w:t>.</w:t>
              </w:r>
            </w:hyperlink>
            <w:r w:rsidRPr="00F31E38">
              <w:rPr>
                <w:rFonts w:ascii="IBM Plex Sans Light" w:hAnsi="IBM Plex Sans Light"/>
                <w:sz w:val="20"/>
              </w:rPr>
              <w:t xml:space="preserve">  </w:t>
            </w:r>
          </w:p>
          <w:p w14:paraId="53FF6A6D" w14:textId="77777777" w:rsidR="00B40FB2" w:rsidRPr="00F31E38" w:rsidRDefault="004123C2">
            <w:pPr>
              <w:spacing w:after="97"/>
              <w:ind w:left="2" w:firstLine="0"/>
              <w:rPr>
                <w:rFonts w:ascii="IBM Plex Sans Light" w:hAnsi="IBM Plex Sans Light"/>
              </w:rPr>
            </w:pPr>
            <w:r w:rsidRPr="00F31E38">
              <w:rPr>
                <w:rFonts w:ascii="IBM Plex Sans Light" w:hAnsi="IBM Plex Sans Light"/>
                <w:sz w:val="20"/>
              </w:rPr>
              <w:t xml:space="preserve">The performance of the CEO is reviewed annually by the Chair.  </w:t>
            </w:r>
          </w:p>
          <w:p w14:paraId="08A2B8A2"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performance of senior executives is reviewed annually by the CEO against both quantitative and qualitative indicators.  </w:t>
            </w:r>
          </w:p>
          <w:p w14:paraId="6591DAF1" w14:textId="77777777" w:rsidR="00B40FB2" w:rsidRPr="00F31E38" w:rsidRDefault="004123C2">
            <w:pPr>
              <w:spacing w:after="98"/>
              <w:ind w:left="2" w:firstLine="0"/>
              <w:rPr>
                <w:rFonts w:ascii="IBM Plex Sans Light" w:hAnsi="IBM Plex Sans Light"/>
              </w:rPr>
            </w:pPr>
            <w:r w:rsidRPr="00F31E38">
              <w:rPr>
                <w:rFonts w:ascii="IBM Plex Sans Light" w:hAnsi="IBM Plex Sans Light"/>
                <w:sz w:val="20"/>
              </w:rPr>
              <w:t xml:space="preserve">Formal evaluations of senior executives were undertaken during the period June to August 2019. </w:t>
            </w:r>
          </w:p>
          <w:p w14:paraId="27894351" w14:textId="77777777" w:rsidR="00B40FB2" w:rsidRPr="00F31E38" w:rsidRDefault="004123C2">
            <w:pPr>
              <w:spacing w:after="0"/>
              <w:ind w:left="2" w:firstLine="0"/>
              <w:rPr>
                <w:rFonts w:ascii="IBM Plex Sans Light" w:hAnsi="IBM Plex Sans Light"/>
              </w:rPr>
            </w:pPr>
            <w:r w:rsidRPr="00F31E38">
              <w:rPr>
                <w:rFonts w:ascii="IBM Plex Sans Light" w:hAnsi="IBM Plex Sans Light"/>
                <w:sz w:val="20"/>
              </w:rPr>
              <w:t xml:space="preserve"> </w:t>
            </w:r>
          </w:p>
        </w:tc>
      </w:tr>
    </w:tbl>
    <w:p w14:paraId="04DBFE90" w14:textId="77777777" w:rsidR="00B40FB2" w:rsidRPr="00595F31" w:rsidRDefault="004123C2">
      <w:pPr>
        <w:spacing w:after="100"/>
        <w:ind w:left="0" w:firstLine="0"/>
        <w:rPr>
          <w:rFonts w:ascii="Lato" w:hAnsi="Lato"/>
        </w:rPr>
      </w:pPr>
      <w:r w:rsidRPr="00595F31">
        <w:rPr>
          <w:rFonts w:ascii="Lato" w:hAnsi="Lato"/>
          <w:sz w:val="20"/>
        </w:rPr>
        <w:t xml:space="preserve"> </w:t>
      </w:r>
    </w:p>
    <w:p w14:paraId="06C190B7" w14:textId="77777777" w:rsidR="00B40FB2" w:rsidRPr="00595F31" w:rsidRDefault="004123C2">
      <w:pPr>
        <w:spacing w:after="0"/>
        <w:ind w:left="0" w:firstLine="0"/>
        <w:jc w:val="both"/>
        <w:rPr>
          <w:rFonts w:ascii="Lato" w:hAnsi="Lato"/>
        </w:rPr>
      </w:pPr>
      <w:r w:rsidRPr="00595F31">
        <w:rPr>
          <w:rFonts w:ascii="Lato" w:hAnsi="Lato"/>
          <w:sz w:val="20"/>
        </w:rPr>
        <w:t xml:space="preserve"> </w:t>
      </w:r>
      <w:r w:rsidRPr="00595F31">
        <w:rPr>
          <w:rFonts w:ascii="Lato" w:hAnsi="Lato"/>
          <w:sz w:val="20"/>
        </w:rPr>
        <w:tab/>
        <w:t xml:space="preserve"> </w:t>
      </w:r>
      <w:r w:rsidRPr="00595F31">
        <w:rPr>
          <w:rFonts w:ascii="Lato" w:hAnsi="Lato"/>
        </w:rPr>
        <w:br w:type="page"/>
      </w:r>
    </w:p>
    <w:p w14:paraId="4AD96B03" w14:textId="77777777" w:rsidR="00B40FB2" w:rsidRPr="00F31E38" w:rsidRDefault="00B40FB2">
      <w:pPr>
        <w:spacing w:after="0"/>
        <w:ind w:left="-1440" w:right="15465" w:firstLine="0"/>
        <w:rPr>
          <w:rFonts w:ascii="IBM Plex Serif Text" w:hAnsi="IBM Plex Serif Text"/>
        </w:rPr>
      </w:pPr>
    </w:p>
    <w:tbl>
      <w:tblPr>
        <w:tblStyle w:val="TableGrid0"/>
        <w:tblW w:w="14034" w:type="dxa"/>
        <w:tblLook w:val="04A0" w:firstRow="1" w:lastRow="0" w:firstColumn="1" w:lastColumn="0" w:noHBand="0" w:noVBand="1"/>
      </w:tblPr>
      <w:tblGrid>
        <w:gridCol w:w="4705"/>
        <w:gridCol w:w="9329"/>
      </w:tblGrid>
      <w:tr w:rsidR="00B40FB2" w:rsidRPr="00F31E38" w14:paraId="04D90875" w14:textId="77777777" w:rsidTr="003E359B">
        <w:trPr>
          <w:trHeight w:val="538"/>
        </w:trPr>
        <w:tc>
          <w:tcPr>
            <w:tcW w:w="14034" w:type="dxa"/>
            <w:gridSpan w:val="2"/>
            <w:shd w:val="clear" w:color="auto" w:fill="15420C"/>
          </w:tcPr>
          <w:p w14:paraId="11EB2437" w14:textId="77777777" w:rsidR="00B40FB2" w:rsidRPr="00F31E38" w:rsidRDefault="004123C2">
            <w:pPr>
              <w:spacing w:after="0"/>
              <w:ind w:left="0" w:firstLine="0"/>
              <w:rPr>
                <w:rFonts w:ascii="IBM Plex Serif Text" w:hAnsi="IBM Plex Serif Text"/>
              </w:rPr>
            </w:pPr>
            <w:r w:rsidRPr="00F31E38">
              <w:rPr>
                <w:rFonts w:ascii="IBM Plex Serif Text" w:hAnsi="IBM Plex Serif Text"/>
                <w:color w:val="FFFFFF"/>
                <w:sz w:val="24"/>
              </w:rPr>
              <w:t>2.</w:t>
            </w:r>
            <w:r w:rsidRPr="00F31E38">
              <w:rPr>
                <w:rFonts w:ascii="IBM Plex Serif Text" w:eastAsia="Arial" w:hAnsi="IBM Plex Serif Text" w:cs="Arial"/>
                <w:b/>
                <w:color w:val="FFFFFF"/>
                <w:sz w:val="24"/>
              </w:rPr>
              <w:t xml:space="preserve"> </w:t>
            </w:r>
            <w:r w:rsidRPr="00F31E38">
              <w:rPr>
                <w:rFonts w:ascii="IBM Plex Serif Text" w:hAnsi="IBM Plex Serif Text"/>
                <w:color w:val="FFFFFF"/>
                <w:sz w:val="24"/>
              </w:rPr>
              <w:t>STRUCTURE THE BOARD TO ADD VALUE</w:t>
            </w:r>
            <w:r w:rsidRPr="00F31E38">
              <w:rPr>
                <w:rFonts w:ascii="IBM Plex Serif Text" w:hAnsi="IBM Plex Serif Text"/>
                <w:color w:val="FFFFFF"/>
                <w:sz w:val="20"/>
              </w:rPr>
              <w:t xml:space="preserve"> </w:t>
            </w:r>
          </w:p>
        </w:tc>
      </w:tr>
      <w:tr w:rsidR="00B40FB2" w:rsidRPr="00595F31" w14:paraId="3D770D3E" w14:textId="77777777" w:rsidTr="003E359B">
        <w:trPr>
          <w:trHeight w:val="5529"/>
        </w:trPr>
        <w:tc>
          <w:tcPr>
            <w:tcW w:w="4705" w:type="dxa"/>
          </w:tcPr>
          <w:p w14:paraId="15262601" w14:textId="77777777" w:rsidR="00B40FB2" w:rsidRPr="00F31E38" w:rsidRDefault="004123C2">
            <w:pPr>
              <w:spacing w:after="117"/>
              <w:ind w:left="0" w:firstLine="0"/>
              <w:rPr>
                <w:rFonts w:ascii="IBM Plex Sans Light" w:hAnsi="IBM Plex Sans Light"/>
                <w:b/>
                <w:bCs/>
              </w:rPr>
            </w:pPr>
            <w:r w:rsidRPr="00F31E38">
              <w:rPr>
                <w:rFonts w:ascii="IBM Plex Sans Light" w:hAnsi="IBM Plex Sans Light"/>
                <w:b/>
                <w:bCs/>
                <w:sz w:val="20"/>
              </w:rPr>
              <w:t xml:space="preserve">2.1 The board of a listed entity should: </w:t>
            </w:r>
          </w:p>
          <w:p w14:paraId="738CC25C" w14:textId="77777777" w:rsidR="00B40FB2" w:rsidRPr="00F31E38" w:rsidRDefault="004123C2">
            <w:pPr>
              <w:numPr>
                <w:ilvl w:val="0"/>
                <w:numId w:val="8"/>
              </w:numPr>
              <w:spacing w:after="97"/>
              <w:ind w:hanging="360"/>
              <w:rPr>
                <w:rFonts w:ascii="IBM Plex Sans Light" w:hAnsi="IBM Plex Sans Light"/>
                <w:b/>
                <w:bCs/>
              </w:rPr>
            </w:pPr>
            <w:r w:rsidRPr="00F31E38">
              <w:rPr>
                <w:rFonts w:ascii="IBM Plex Sans Light" w:hAnsi="IBM Plex Sans Light"/>
                <w:b/>
                <w:bCs/>
                <w:sz w:val="20"/>
              </w:rPr>
              <w:t xml:space="preserve">have a nomination committee which: </w:t>
            </w:r>
          </w:p>
          <w:p w14:paraId="7A0946FE" w14:textId="77777777" w:rsidR="00B40FB2" w:rsidRPr="00F31E38" w:rsidRDefault="004123C2">
            <w:pPr>
              <w:numPr>
                <w:ilvl w:val="1"/>
                <w:numId w:val="8"/>
              </w:numPr>
              <w:spacing w:after="121" w:line="237" w:lineRule="auto"/>
              <w:ind w:firstLine="0"/>
              <w:rPr>
                <w:rFonts w:ascii="IBM Plex Sans Light" w:hAnsi="IBM Plex Sans Light"/>
                <w:b/>
                <w:bCs/>
              </w:rPr>
            </w:pPr>
            <w:r w:rsidRPr="00F31E38">
              <w:rPr>
                <w:rFonts w:ascii="IBM Plex Sans Light" w:hAnsi="IBM Plex Sans Light"/>
                <w:b/>
                <w:bCs/>
                <w:sz w:val="20"/>
              </w:rPr>
              <w:t xml:space="preserve">has at least three members, a majority of whom are independent directors; and </w:t>
            </w:r>
          </w:p>
          <w:p w14:paraId="50F57CFA" w14:textId="77777777" w:rsidR="00B40FB2" w:rsidRPr="00F31E38" w:rsidRDefault="004123C2">
            <w:pPr>
              <w:numPr>
                <w:ilvl w:val="1"/>
                <w:numId w:val="8"/>
              </w:numPr>
              <w:spacing w:after="97"/>
              <w:ind w:firstLine="0"/>
              <w:rPr>
                <w:rFonts w:ascii="IBM Plex Sans Light" w:hAnsi="IBM Plex Sans Light"/>
                <w:b/>
                <w:bCs/>
              </w:rPr>
            </w:pPr>
            <w:r w:rsidRPr="00F31E38">
              <w:rPr>
                <w:rFonts w:ascii="IBM Plex Sans Light" w:hAnsi="IBM Plex Sans Light"/>
                <w:b/>
                <w:bCs/>
                <w:sz w:val="20"/>
              </w:rPr>
              <w:t xml:space="preserve">is chaired by an independent director; </w:t>
            </w:r>
          </w:p>
          <w:p w14:paraId="74C862A7" w14:textId="77777777" w:rsidR="00B40FB2" w:rsidRPr="00F31E38" w:rsidRDefault="004123C2">
            <w:pPr>
              <w:numPr>
                <w:ilvl w:val="1"/>
                <w:numId w:val="8"/>
              </w:numPr>
              <w:spacing w:after="97"/>
              <w:ind w:firstLine="0"/>
              <w:rPr>
                <w:rFonts w:ascii="IBM Plex Sans Light" w:hAnsi="IBM Plex Sans Light"/>
                <w:b/>
                <w:bCs/>
              </w:rPr>
            </w:pPr>
            <w:r w:rsidRPr="00F31E38">
              <w:rPr>
                <w:rFonts w:ascii="IBM Plex Sans Light" w:hAnsi="IBM Plex Sans Light"/>
                <w:b/>
                <w:bCs/>
                <w:sz w:val="20"/>
              </w:rPr>
              <w:t xml:space="preserve">abides by the charter of the committee; and </w:t>
            </w:r>
          </w:p>
          <w:p w14:paraId="467D86B8" w14:textId="77777777" w:rsidR="00B40FB2" w:rsidRPr="00F31E38" w:rsidRDefault="004123C2">
            <w:pPr>
              <w:numPr>
                <w:ilvl w:val="1"/>
                <w:numId w:val="8"/>
              </w:numPr>
              <w:spacing w:after="140" w:line="237" w:lineRule="auto"/>
              <w:ind w:firstLine="0"/>
              <w:rPr>
                <w:rFonts w:ascii="IBM Plex Sans Light" w:hAnsi="IBM Plex Sans Light"/>
                <w:b/>
                <w:bCs/>
              </w:rPr>
            </w:pPr>
            <w:r w:rsidRPr="00F31E38">
              <w:rPr>
                <w:rFonts w:ascii="IBM Plex Sans Light" w:hAnsi="IBM Plex Sans Light"/>
                <w:b/>
                <w:bCs/>
                <w:sz w:val="20"/>
              </w:rPr>
              <w:t xml:space="preserve">as at the end of each reporting period, records the number of times the committee met throughout the period and the individual attendances of the members at those meetings; or </w:t>
            </w:r>
          </w:p>
          <w:p w14:paraId="58A629F8" w14:textId="77777777" w:rsidR="00B40FB2" w:rsidRPr="00F31E38" w:rsidRDefault="004123C2">
            <w:pPr>
              <w:numPr>
                <w:ilvl w:val="0"/>
                <w:numId w:val="8"/>
              </w:numPr>
              <w:spacing w:after="0"/>
              <w:ind w:hanging="360"/>
              <w:rPr>
                <w:rFonts w:ascii="IBM Plex Sans Light" w:hAnsi="IBM Plex Sans Light"/>
              </w:rPr>
            </w:pPr>
            <w:r w:rsidRPr="00F31E38">
              <w:rPr>
                <w:rFonts w:ascii="IBM Plex Sans Light" w:hAnsi="IBM Plex Sans Light"/>
                <w:b/>
                <w:bCs/>
                <w:sz w:val="20"/>
              </w:rPr>
              <w:t>if it does not have a nomination committee, disclose that fact and the processes it employs to address board succession issues and to ensure that the board has the appropriate balance of skills, knowledge, experience, independence and diversity to enable it to discharge its duties and responsibilities effectively.</w:t>
            </w:r>
            <w:r w:rsidRPr="00F31E38">
              <w:rPr>
                <w:rFonts w:ascii="IBM Plex Sans Light" w:hAnsi="IBM Plex Sans Light"/>
                <w:sz w:val="20"/>
              </w:rPr>
              <w:t xml:space="preserve"> </w:t>
            </w:r>
          </w:p>
        </w:tc>
        <w:tc>
          <w:tcPr>
            <w:tcW w:w="9329" w:type="dxa"/>
          </w:tcPr>
          <w:p w14:paraId="79A4E2DC"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Board has established a Nominations &amp; Remuneration Committee. The Committee consists of both independent and non-independent directors. </w:t>
            </w:r>
          </w:p>
          <w:p w14:paraId="45A014F9" w14:textId="77777777" w:rsidR="00B40FB2" w:rsidRPr="00F31E38" w:rsidRDefault="004123C2">
            <w:pPr>
              <w:spacing w:after="120"/>
              <w:ind w:left="2" w:firstLine="0"/>
              <w:rPr>
                <w:rFonts w:ascii="IBM Plex Sans Light" w:hAnsi="IBM Plex Sans Light"/>
              </w:rPr>
            </w:pPr>
            <w:r w:rsidRPr="00F31E38">
              <w:rPr>
                <w:rFonts w:ascii="IBM Plex Sans Light" w:hAnsi="IBM Plex Sans Light"/>
                <w:sz w:val="20"/>
              </w:rPr>
              <w:t xml:space="preserve">The current committee comprises:  </w:t>
            </w:r>
          </w:p>
          <w:p w14:paraId="29516276" w14:textId="77777777" w:rsidR="00B40FB2" w:rsidRPr="00F31E38" w:rsidRDefault="004123C2">
            <w:pPr>
              <w:numPr>
                <w:ilvl w:val="0"/>
                <w:numId w:val="9"/>
              </w:numPr>
              <w:spacing w:after="0"/>
              <w:ind w:hanging="360"/>
              <w:rPr>
                <w:rFonts w:ascii="IBM Plex Sans Light" w:hAnsi="IBM Plex Sans Light"/>
              </w:rPr>
            </w:pPr>
            <w:r w:rsidRPr="00F31E38">
              <w:rPr>
                <w:rFonts w:ascii="IBM Plex Sans Light" w:hAnsi="IBM Plex Sans Light"/>
                <w:sz w:val="20"/>
              </w:rPr>
              <w:t xml:space="preserve">Two independent directors, one of which is the Chair </w:t>
            </w:r>
          </w:p>
          <w:p w14:paraId="323AFFB7" w14:textId="77777777" w:rsidR="00B40FB2" w:rsidRPr="00F31E38" w:rsidRDefault="004123C2">
            <w:pPr>
              <w:numPr>
                <w:ilvl w:val="0"/>
                <w:numId w:val="9"/>
              </w:numPr>
              <w:spacing w:after="80"/>
              <w:ind w:hanging="360"/>
              <w:rPr>
                <w:rFonts w:ascii="IBM Plex Sans Light" w:hAnsi="IBM Plex Sans Light"/>
              </w:rPr>
            </w:pPr>
            <w:r w:rsidRPr="00F31E38">
              <w:rPr>
                <w:rFonts w:ascii="IBM Plex Sans Light" w:hAnsi="IBM Plex Sans Light"/>
                <w:sz w:val="20"/>
              </w:rPr>
              <w:t xml:space="preserve">One non-independent director </w:t>
            </w:r>
          </w:p>
          <w:p w14:paraId="1C70E7D3" w14:textId="14DF45F8" w:rsidR="00B40FB2" w:rsidRPr="00F31E38" w:rsidRDefault="00A256D5">
            <w:pPr>
              <w:spacing w:after="97"/>
              <w:ind w:left="2" w:firstLine="0"/>
              <w:rPr>
                <w:rFonts w:ascii="IBM Plex Sans Light" w:hAnsi="IBM Plex Sans Light"/>
              </w:rPr>
            </w:pPr>
            <w:hyperlink r:id="rId15">
              <w:r w:rsidR="004123C2" w:rsidRPr="00F31E38">
                <w:rPr>
                  <w:rFonts w:ascii="IBM Plex Sans Light" w:hAnsi="IBM Plex Sans Light"/>
                  <w:color w:val="0000FF"/>
                  <w:sz w:val="20"/>
                  <w:u w:val="single" w:color="0000FF"/>
                </w:rPr>
                <w:t>Nominations &amp; Remuneration Committee Charter</w:t>
              </w:r>
            </w:hyperlink>
            <w:hyperlink r:id="rId16">
              <w:r w:rsidR="004123C2" w:rsidRPr="00F31E38">
                <w:rPr>
                  <w:rFonts w:ascii="IBM Plex Sans Light" w:hAnsi="IBM Plex Sans Light"/>
                  <w:sz w:val="20"/>
                </w:rPr>
                <w:t xml:space="preserve"> </w:t>
              </w:r>
            </w:hyperlink>
            <w:r w:rsidR="004123C2" w:rsidRPr="00F31E38">
              <w:rPr>
                <w:rFonts w:ascii="IBM Plex Sans Light" w:hAnsi="IBM Plex Sans Light"/>
                <w:sz w:val="20"/>
              </w:rPr>
              <w:t xml:space="preserve">can be found on the </w:t>
            </w:r>
            <w:r w:rsidR="00662258">
              <w:rPr>
                <w:rFonts w:ascii="IBM Plex Sans Light" w:hAnsi="IBM Plex Sans Light"/>
                <w:sz w:val="20"/>
              </w:rPr>
              <w:t>Acumentis</w:t>
            </w:r>
            <w:r w:rsidR="004123C2" w:rsidRPr="00F31E38">
              <w:rPr>
                <w:rFonts w:ascii="IBM Plex Sans Light" w:hAnsi="IBM Plex Sans Light"/>
                <w:sz w:val="20"/>
              </w:rPr>
              <w:t xml:space="preserve"> website. </w:t>
            </w:r>
          </w:p>
          <w:p w14:paraId="327A430C" w14:textId="77777777" w:rsidR="00B40FB2" w:rsidRPr="00F31E38" w:rsidRDefault="004123C2">
            <w:pPr>
              <w:spacing w:after="120"/>
              <w:ind w:left="2" w:firstLine="0"/>
              <w:rPr>
                <w:rFonts w:ascii="IBM Plex Sans Light" w:hAnsi="IBM Plex Sans Light"/>
              </w:rPr>
            </w:pPr>
            <w:r w:rsidRPr="00F31E38">
              <w:rPr>
                <w:rFonts w:ascii="IBM Plex Sans Light" w:hAnsi="IBM Plex Sans Light"/>
                <w:sz w:val="20"/>
              </w:rPr>
              <w:t xml:space="preserve">The duties of the Committee in relation to nomination matters include: </w:t>
            </w:r>
          </w:p>
          <w:p w14:paraId="176B0272" w14:textId="77777777" w:rsidR="00B40FB2" w:rsidRPr="00F31E38" w:rsidRDefault="004123C2">
            <w:pPr>
              <w:numPr>
                <w:ilvl w:val="0"/>
                <w:numId w:val="9"/>
              </w:numPr>
              <w:spacing w:after="19" w:line="243" w:lineRule="auto"/>
              <w:ind w:hanging="360"/>
              <w:rPr>
                <w:rFonts w:ascii="IBM Plex Sans Light" w:hAnsi="IBM Plex Sans Light"/>
              </w:rPr>
            </w:pPr>
            <w:r w:rsidRPr="00F31E38">
              <w:rPr>
                <w:rFonts w:ascii="IBM Plex Sans Light" w:hAnsi="IBM Plex Sans Light"/>
                <w:sz w:val="20"/>
              </w:rPr>
              <w:t xml:space="preserve">developing and maintaining a skills matrix of Directors in order to assess criteria for selection of candidates for the Board in the context of the Board’s existing composition and structure; </w:t>
            </w:r>
          </w:p>
          <w:p w14:paraId="7F499625" w14:textId="77777777" w:rsidR="00B40FB2" w:rsidRPr="00F31E38" w:rsidRDefault="004123C2">
            <w:pPr>
              <w:numPr>
                <w:ilvl w:val="0"/>
                <w:numId w:val="9"/>
              </w:numPr>
              <w:spacing w:after="0"/>
              <w:ind w:hanging="360"/>
              <w:rPr>
                <w:rFonts w:ascii="IBM Plex Sans Light" w:hAnsi="IBM Plex Sans Light"/>
              </w:rPr>
            </w:pPr>
            <w:r w:rsidRPr="00F31E38">
              <w:rPr>
                <w:rFonts w:ascii="IBM Plex Sans Light" w:hAnsi="IBM Plex Sans Light"/>
                <w:sz w:val="20"/>
              </w:rPr>
              <w:t xml:space="preserve">determining the appropriate size and composition of the Board; </w:t>
            </w:r>
          </w:p>
          <w:p w14:paraId="4511F543" w14:textId="77777777" w:rsidR="00B40FB2" w:rsidRPr="00F31E38" w:rsidRDefault="004123C2">
            <w:pPr>
              <w:numPr>
                <w:ilvl w:val="0"/>
                <w:numId w:val="9"/>
              </w:numPr>
              <w:spacing w:after="24" w:line="238" w:lineRule="auto"/>
              <w:ind w:hanging="360"/>
              <w:rPr>
                <w:rFonts w:ascii="IBM Plex Sans Light" w:hAnsi="IBM Plex Sans Light"/>
              </w:rPr>
            </w:pPr>
            <w:r w:rsidRPr="00F31E38">
              <w:rPr>
                <w:rFonts w:ascii="IBM Plex Sans Light" w:hAnsi="IBM Plex Sans Light"/>
                <w:sz w:val="20"/>
              </w:rPr>
              <w:t xml:space="preserve">setting a formal and transparent procedure for selecting new directors for appointment to the Board; </w:t>
            </w:r>
          </w:p>
          <w:p w14:paraId="5CFAF3DD" w14:textId="77777777" w:rsidR="00B40FB2" w:rsidRPr="00F31E38" w:rsidRDefault="004123C2">
            <w:pPr>
              <w:numPr>
                <w:ilvl w:val="0"/>
                <w:numId w:val="9"/>
              </w:numPr>
              <w:spacing w:after="80"/>
              <w:ind w:hanging="360"/>
              <w:rPr>
                <w:rFonts w:ascii="IBM Plex Sans Light" w:hAnsi="IBM Plex Sans Light"/>
              </w:rPr>
            </w:pPr>
            <w:r w:rsidRPr="00F31E38">
              <w:rPr>
                <w:rFonts w:ascii="IBM Plex Sans Light" w:hAnsi="IBM Plex Sans Light"/>
                <w:sz w:val="20"/>
              </w:rPr>
              <w:t xml:space="preserve">making recommendations to the Board on the appointment and removal of directors. </w:t>
            </w:r>
          </w:p>
          <w:p w14:paraId="226A4E09" w14:textId="77777777" w:rsidR="00B40FB2" w:rsidRPr="00F31E38" w:rsidRDefault="004123C2">
            <w:pPr>
              <w:spacing w:after="120" w:line="237" w:lineRule="auto"/>
              <w:ind w:left="2" w:firstLine="0"/>
              <w:rPr>
                <w:rFonts w:ascii="IBM Plex Sans Light" w:hAnsi="IBM Plex Sans Light"/>
              </w:rPr>
            </w:pPr>
            <w:r w:rsidRPr="00F31E38">
              <w:rPr>
                <w:rFonts w:ascii="IBM Plex Sans Light" w:hAnsi="IBM Plex Sans Light"/>
                <w:sz w:val="20"/>
              </w:rPr>
              <w:t xml:space="preserve">The current members of the Nomination &amp; Remuneration and their attendance at meetings are listed within the Company’s </w:t>
            </w:r>
            <w:hyperlink r:id="rId17">
              <w:r w:rsidRPr="00F31E38">
                <w:rPr>
                  <w:rFonts w:ascii="IBM Plex Sans Light" w:hAnsi="IBM Plex Sans Light"/>
                  <w:color w:val="0000FF"/>
                  <w:sz w:val="20"/>
                  <w:u w:val="single" w:color="0000FF"/>
                </w:rPr>
                <w:t>Annual Report</w:t>
              </w:r>
            </w:hyperlink>
            <w:hyperlink r:id="rId18">
              <w:r w:rsidRPr="00F31E38">
                <w:rPr>
                  <w:rFonts w:ascii="IBM Plex Sans Light" w:hAnsi="IBM Plex Sans Light"/>
                  <w:sz w:val="20"/>
                </w:rPr>
                <w:t>.</w:t>
              </w:r>
            </w:hyperlink>
            <w:r w:rsidRPr="00F31E38">
              <w:rPr>
                <w:rFonts w:ascii="IBM Plex Sans Light" w:hAnsi="IBM Plex Sans Light"/>
                <w:sz w:val="20"/>
              </w:rPr>
              <w:t xml:space="preserve"> </w:t>
            </w:r>
          </w:p>
          <w:p w14:paraId="6340868F" w14:textId="77777777" w:rsidR="00B40FB2" w:rsidRPr="00F31E38" w:rsidRDefault="004123C2">
            <w:pPr>
              <w:spacing w:after="0"/>
              <w:ind w:left="2" w:firstLine="0"/>
              <w:rPr>
                <w:rFonts w:ascii="IBM Plex Sans Light" w:hAnsi="IBM Plex Sans Light"/>
              </w:rPr>
            </w:pPr>
            <w:r w:rsidRPr="00F31E38">
              <w:rPr>
                <w:rFonts w:ascii="IBM Plex Sans Light" w:hAnsi="IBM Plex Sans Light"/>
                <w:sz w:val="20"/>
              </w:rPr>
              <w:t xml:space="preserve"> </w:t>
            </w:r>
          </w:p>
        </w:tc>
      </w:tr>
    </w:tbl>
    <w:p w14:paraId="1B43CF94" w14:textId="77777777" w:rsidR="00B40FB2" w:rsidRPr="00595F31" w:rsidRDefault="00B40FB2">
      <w:pPr>
        <w:spacing w:after="0"/>
        <w:ind w:left="-1440" w:right="15465" w:firstLine="0"/>
        <w:rPr>
          <w:rFonts w:ascii="Lato" w:hAnsi="Lato"/>
        </w:rPr>
      </w:pPr>
    </w:p>
    <w:tbl>
      <w:tblPr>
        <w:tblStyle w:val="TableGrid"/>
        <w:tblW w:w="14036" w:type="dxa"/>
        <w:tblInd w:w="6" w:type="dxa"/>
        <w:tblLook w:val="04A0" w:firstRow="1" w:lastRow="0" w:firstColumn="1" w:lastColumn="0" w:noHBand="0" w:noVBand="1"/>
      </w:tblPr>
      <w:tblGrid>
        <w:gridCol w:w="4705"/>
        <w:gridCol w:w="9331"/>
      </w:tblGrid>
      <w:tr w:rsidR="00B40FB2" w:rsidRPr="00F31E38" w14:paraId="0E71971F" w14:textId="77777777" w:rsidTr="00F31E38">
        <w:trPr>
          <w:trHeight w:val="3646"/>
        </w:trPr>
        <w:tc>
          <w:tcPr>
            <w:tcW w:w="4705" w:type="dxa"/>
          </w:tcPr>
          <w:p w14:paraId="137F2242" w14:textId="77777777" w:rsidR="00B40FB2" w:rsidRPr="00F31E38" w:rsidRDefault="004123C2">
            <w:pPr>
              <w:spacing w:after="120" w:line="237" w:lineRule="auto"/>
              <w:ind w:left="360" w:hanging="360"/>
              <w:rPr>
                <w:rFonts w:ascii="IBM Plex Sans Light" w:hAnsi="IBM Plex Sans Light"/>
                <w:b/>
                <w:bCs/>
              </w:rPr>
            </w:pPr>
            <w:r w:rsidRPr="00F31E38">
              <w:rPr>
                <w:rFonts w:ascii="IBM Plex Sans Light" w:hAnsi="IBM Plex Sans Light"/>
                <w:b/>
                <w:bCs/>
                <w:sz w:val="20"/>
              </w:rPr>
              <w:lastRenderedPageBreak/>
              <w:t xml:space="preserve">2.2 A listed entity should have and disclose a board skills matrix setting out the mix of skills and diversity that the board currently has or is looking to achieve in its membership. </w:t>
            </w:r>
          </w:p>
          <w:p w14:paraId="0F51E804" w14:textId="77777777" w:rsidR="00B40FB2" w:rsidRPr="00F31E38" w:rsidRDefault="004123C2">
            <w:pPr>
              <w:spacing w:after="0"/>
              <w:ind w:left="360" w:firstLine="0"/>
              <w:rPr>
                <w:rFonts w:ascii="IBM Plex Sans Light" w:hAnsi="IBM Plex Sans Light"/>
                <w:b/>
                <w:bCs/>
              </w:rPr>
            </w:pPr>
            <w:r w:rsidRPr="00F31E38">
              <w:rPr>
                <w:rFonts w:ascii="IBM Plex Sans Light" w:hAnsi="IBM Plex Sans Light"/>
                <w:b/>
                <w:bCs/>
                <w:sz w:val="20"/>
              </w:rPr>
              <w:t xml:space="preserve"> </w:t>
            </w:r>
          </w:p>
        </w:tc>
        <w:tc>
          <w:tcPr>
            <w:tcW w:w="9331" w:type="dxa"/>
          </w:tcPr>
          <w:p w14:paraId="543E911B" w14:textId="77777777" w:rsidR="00B40FB2" w:rsidRPr="00A256D5" w:rsidRDefault="004123C2" w:rsidP="00A256D5">
            <w:pPr>
              <w:spacing w:after="120" w:line="237" w:lineRule="auto"/>
              <w:ind w:left="395" w:firstLine="0"/>
              <w:rPr>
                <w:rFonts w:ascii="IBM Plex Sans" w:hAnsi="IBM Plex Sans"/>
              </w:rPr>
            </w:pPr>
            <w:r w:rsidRPr="00A256D5">
              <w:rPr>
                <w:rFonts w:ascii="IBM Plex Sans" w:hAnsi="IBM Plex Sans"/>
                <w:sz w:val="20"/>
              </w:rPr>
              <w:t xml:space="preserve">The Company has a desired skills matrix against which the Board’s current skills and qualities are periodically compared. The skills matrix is reviewed by the Board from time to time. </w:t>
            </w:r>
          </w:p>
          <w:p w14:paraId="7F51A6BA" w14:textId="77777777" w:rsidR="00B40FB2" w:rsidRPr="00A256D5" w:rsidRDefault="004123C2" w:rsidP="00A256D5">
            <w:pPr>
              <w:spacing w:after="120"/>
              <w:ind w:left="395" w:firstLine="0"/>
              <w:rPr>
                <w:rFonts w:ascii="IBM Plex Sans" w:hAnsi="IBM Plex Sans"/>
              </w:rPr>
            </w:pPr>
            <w:r w:rsidRPr="00A256D5">
              <w:rPr>
                <w:rFonts w:ascii="IBM Plex Sans" w:hAnsi="IBM Plex Sans"/>
                <w:sz w:val="20"/>
              </w:rPr>
              <w:t xml:space="preserve">The Board has determined a skills matrix that outlines the following skills required for an effective Board: </w:t>
            </w:r>
          </w:p>
          <w:p w14:paraId="7A761950"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Experience in serving on boards, particularly of ASX-Listed entities; </w:t>
            </w:r>
          </w:p>
          <w:p w14:paraId="1FB61A0F"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Accounting and governance experience; </w:t>
            </w:r>
          </w:p>
          <w:p w14:paraId="28127F00"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Experience to enable acting as chair of the audit committee; </w:t>
            </w:r>
          </w:p>
          <w:p w14:paraId="689EFCC3"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Experience in determining remuneration; </w:t>
            </w:r>
          </w:p>
          <w:p w14:paraId="3653B5E8"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Knowledge of the property industry; </w:t>
            </w:r>
          </w:p>
          <w:p w14:paraId="447662CB"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Experience in setting &amp; monitoring business strategies; </w:t>
            </w:r>
          </w:p>
          <w:p w14:paraId="0CB8D39A"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Marketing skills, particularly in the B2B space; </w:t>
            </w:r>
          </w:p>
          <w:p w14:paraId="299A63DC"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Experience of doing business across a wide variety of Australian industries; </w:t>
            </w:r>
          </w:p>
          <w:p w14:paraId="22F5A925"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Network of contacts across a broad range of Australian businesses and industry groups; and </w:t>
            </w:r>
          </w:p>
          <w:p w14:paraId="30255D46" w14:textId="77777777" w:rsidR="00B40FB2" w:rsidRPr="00A256D5" w:rsidRDefault="004123C2" w:rsidP="00A256D5">
            <w:pPr>
              <w:numPr>
                <w:ilvl w:val="0"/>
                <w:numId w:val="10"/>
              </w:numPr>
              <w:spacing w:after="0"/>
              <w:ind w:left="821" w:hanging="426"/>
              <w:rPr>
                <w:rFonts w:ascii="IBM Plex Sans" w:hAnsi="IBM Plex Sans"/>
              </w:rPr>
            </w:pPr>
            <w:r w:rsidRPr="00A256D5">
              <w:rPr>
                <w:rFonts w:ascii="IBM Plex Sans" w:hAnsi="IBM Plex Sans"/>
                <w:sz w:val="20"/>
              </w:rPr>
              <w:t xml:space="preserve">Broad knowledge of and insight into Australian and international economic conditions and trends. </w:t>
            </w:r>
          </w:p>
          <w:p w14:paraId="4566A916" w14:textId="70A2C9D1" w:rsidR="00A256D5" w:rsidRPr="00A256D5" w:rsidRDefault="00A256D5" w:rsidP="00A256D5">
            <w:pPr>
              <w:spacing w:after="0"/>
              <w:ind w:left="821" w:firstLine="0"/>
              <w:rPr>
                <w:rFonts w:ascii="IBM Plex Sans" w:hAnsi="IBM Plex Sans"/>
              </w:rPr>
            </w:pPr>
          </w:p>
        </w:tc>
      </w:tr>
      <w:tr w:rsidR="00B40FB2" w:rsidRPr="00F31E38" w14:paraId="10F9FE8A" w14:textId="77777777" w:rsidTr="00F31E38">
        <w:trPr>
          <w:trHeight w:val="3729"/>
        </w:trPr>
        <w:tc>
          <w:tcPr>
            <w:tcW w:w="4705" w:type="dxa"/>
          </w:tcPr>
          <w:p w14:paraId="36BF49D8" w14:textId="77777777" w:rsidR="00B40FB2" w:rsidRPr="00F31E38" w:rsidRDefault="004123C2">
            <w:pPr>
              <w:spacing w:after="117"/>
              <w:ind w:left="0" w:firstLine="0"/>
              <w:rPr>
                <w:rFonts w:ascii="IBM Plex Sans Light" w:hAnsi="IBM Plex Sans Light"/>
                <w:b/>
                <w:bCs/>
              </w:rPr>
            </w:pPr>
            <w:r w:rsidRPr="00F31E38">
              <w:rPr>
                <w:rFonts w:ascii="IBM Plex Sans Light" w:hAnsi="IBM Plex Sans Light"/>
                <w:b/>
                <w:bCs/>
                <w:sz w:val="20"/>
              </w:rPr>
              <w:t xml:space="preserve">2.3 A listed entity should disclose: </w:t>
            </w:r>
          </w:p>
          <w:p w14:paraId="6380A52E" w14:textId="77777777" w:rsidR="00B40FB2" w:rsidRPr="00F31E38" w:rsidRDefault="004123C2">
            <w:pPr>
              <w:numPr>
                <w:ilvl w:val="0"/>
                <w:numId w:val="11"/>
              </w:numPr>
              <w:spacing w:after="140" w:line="237" w:lineRule="auto"/>
              <w:ind w:hanging="360"/>
              <w:rPr>
                <w:rFonts w:ascii="IBM Plex Sans Light" w:hAnsi="IBM Plex Sans Light"/>
                <w:b/>
                <w:bCs/>
              </w:rPr>
            </w:pPr>
            <w:r w:rsidRPr="00F31E38">
              <w:rPr>
                <w:rFonts w:ascii="IBM Plex Sans Light" w:hAnsi="IBM Plex Sans Light"/>
                <w:b/>
                <w:bCs/>
                <w:sz w:val="20"/>
              </w:rPr>
              <w:t xml:space="preserve">the names of the directors considered by the board to be independent directors; </w:t>
            </w:r>
          </w:p>
          <w:p w14:paraId="594DBB03" w14:textId="77777777" w:rsidR="00B40FB2" w:rsidRPr="00F31E38" w:rsidRDefault="004123C2">
            <w:pPr>
              <w:numPr>
                <w:ilvl w:val="0"/>
                <w:numId w:val="11"/>
              </w:numPr>
              <w:spacing w:after="140" w:line="237" w:lineRule="auto"/>
              <w:ind w:hanging="360"/>
              <w:rPr>
                <w:rFonts w:ascii="IBM Plex Sans Light" w:hAnsi="IBM Plex Sans Light"/>
                <w:b/>
                <w:bCs/>
              </w:rPr>
            </w:pPr>
            <w:r w:rsidRPr="00F31E38">
              <w:rPr>
                <w:rFonts w:ascii="IBM Plex Sans Light" w:hAnsi="IBM Plex Sans Light"/>
                <w:b/>
                <w:bCs/>
                <w:sz w:val="20"/>
              </w:rPr>
              <w:t xml:space="preserve">if a director has an interest, position, association or relationship of the type described in the Principles described in the notes to the Governance Principles, but the board is of the opinion that it does not compromise the independence of the director, the nature of the interest, position, association or relationship in question and an explanation of why the board is of that opinion; and </w:t>
            </w:r>
          </w:p>
          <w:p w14:paraId="160C521C" w14:textId="77777777" w:rsidR="00B40FB2" w:rsidRPr="00F31E38" w:rsidRDefault="004123C2">
            <w:pPr>
              <w:numPr>
                <w:ilvl w:val="0"/>
                <w:numId w:val="11"/>
              </w:numPr>
              <w:spacing w:after="0"/>
              <w:ind w:hanging="360"/>
              <w:rPr>
                <w:rFonts w:ascii="IBM Plex Sans Light" w:hAnsi="IBM Plex Sans Light"/>
                <w:b/>
                <w:bCs/>
              </w:rPr>
            </w:pPr>
            <w:r w:rsidRPr="00F31E38">
              <w:rPr>
                <w:rFonts w:ascii="IBM Plex Sans Light" w:hAnsi="IBM Plex Sans Light"/>
                <w:b/>
                <w:bCs/>
                <w:sz w:val="20"/>
              </w:rPr>
              <w:t xml:space="preserve">the length of service of each director. </w:t>
            </w:r>
          </w:p>
        </w:tc>
        <w:tc>
          <w:tcPr>
            <w:tcW w:w="9331" w:type="dxa"/>
          </w:tcPr>
          <w:p w14:paraId="71B6C4DA" w14:textId="7077B555" w:rsidR="00B40FB2" w:rsidRPr="00A256D5" w:rsidRDefault="004123C2" w:rsidP="00A256D5">
            <w:pPr>
              <w:spacing w:after="120" w:line="237" w:lineRule="auto"/>
              <w:ind w:left="395" w:right="177" w:firstLine="0"/>
              <w:jc w:val="both"/>
              <w:rPr>
                <w:rFonts w:ascii="IBM Plex Sans" w:hAnsi="IBM Plex Sans"/>
              </w:rPr>
            </w:pPr>
            <w:r w:rsidRPr="00A256D5">
              <w:rPr>
                <w:rFonts w:ascii="IBM Plex Sans" w:hAnsi="IBM Plex Sans"/>
                <w:color w:val="181818"/>
                <w:sz w:val="20"/>
              </w:rPr>
              <w:t xml:space="preserve">The names of all directors of </w:t>
            </w:r>
            <w:r w:rsidR="00D849CA" w:rsidRPr="00A256D5">
              <w:rPr>
                <w:rFonts w:ascii="IBM Plex Sans" w:hAnsi="IBM Plex Sans"/>
                <w:color w:val="181818"/>
                <w:sz w:val="20"/>
              </w:rPr>
              <w:t>Acumentis</w:t>
            </w:r>
            <w:r w:rsidRPr="00A256D5">
              <w:rPr>
                <w:rFonts w:ascii="IBM Plex Sans" w:hAnsi="IBM Plex Sans"/>
                <w:color w:val="181818"/>
                <w:sz w:val="20"/>
              </w:rPr>
              <w:t xml:space="preserve"> (both independent and non-independent) in office at any time during or since the end of the financial year, and the date they became a Director, are set out </w:t>
            </w:r>
            <w:r w:rsidRPr="00A256D5">
              <w:rPr>
                <w:rFonts w:ascii="IBM Plex Sans" w:hAnsi="IBM Plex Sans"/>
                <w:sz w:val="20"/>
              </w:rPr>
              <w:t xml:space="preserve">within the Company’s </w:t>
            </w:r>
            <w:hyperlink r:id="rId19">
              <w:r w:rsidRPr="00A256D5">
                <w:rPr>
                  <w:rFonts w:ascii="IBM Plex Sans" w:hAnsi="IBM Plex Sans"/>
                  <w:color w:val="0000FF"/>
                  <w:sz w:val="20"/>
                  <w:u w:val="single" w:color="0000FF"/>
                </w:rPr>
                <w:t>Annual Report</w:t>
              </w:r>
            </w:hyperlink>
            <w:hyperlink r:id="rId20">
              <w:r w:rsidRPr="00A256D5">
                <w:rPr>
                  <w:rFonts w:ascii="IBM Plex Sans" w:hAnsi="IBM Plex Sans"/>
                  <w:sz w:val="20"/>
                </w:rPr>
                <w:t>.</w:t>
              </w:r>
            </w:hyperlink>
            <w:r w:rsidRPr="00A256D5">
              <w:rPr>
                <w:rFonts w:ascii="IBM Plex Sans" w:hAnsi="IBM Plex Sans"/>
                <w:sz w:val="20"/>
              </w:rPr>
              <w:t xml:space="preserve"> </w:t>
            </w:r>
          </w:p>
          <w:p w14:paraId="0BAAC061" w14:textId="77777777" w:rsidR="00B40FB2" w:rsidRPr="00A256D5" w:rsidRDefault="004123C2" w:rsidP="00A256D5">
            <w:pPr>
              <w:spacing w:after="120" w:line="237" w:lineRule="auto"/>
              <w:ind w:left="395" w:firstLine="0"/>
              <w:rPr>
                <w:rFonts w:ascii="IBM Plex Sans" w:hAnsi="IBM Plex Sans"/>
              </w:rPr>
            </w:pPr>
            <w:r w:rsidRPr="00A256D5">
              <w:rPr>
                <w:rFonts w:ascii="IBM Plex Sans" w:hAnsi="IBM Plex Sans"/>
                <w:sz w:val="20"/>
              </w:rPr>
              <w:t>The Board has not identified any Directors as being independent who have an interest, position, association or relationship of the type described in the Principles described in the notes to the Governance Principles.</w:t>
            </w:r>
            <w:r w:rsidRPr="00A256D5">
              <w:rPr>
                <w:rFonts w:ascii="IBM Plex Sans" w:hAnsi="IBM Plex Sans"/>
                <w:color w:val="181818"/>
                <w:sz w:val="20"/>
              </w:rPr>
              <w:t xml:space="preserve"> </w:t>
            </w:r>
          </w:p>
          <w:p w14:paraId="30A31358" w14:textId="77777777" w:rsidR="00B40FB2" w:rsidRPr="00A256D5" w:rsidRDefault="004123C2" w:rsidP="00A256D5">
            <w:pPr>
              <w:spacing w:after="97"/>
              <w:ind w:left="395" w:firstLine="0"/>
              <w:rPr>
                <w:rFonts w:ascii="IBM Plex Sans" w:hAnsi="IBM Plex Sans"/>
              </w:rPr>
            </w:pPr>
            <w:r w:rsidRPr="00A256D5">
              <w:rPr>
                <w:rFonts w:ascii="IBM Plex Sans" w:hAnsi="IBM Plex Sans"/>
                <w:color w:val="181818"/>
                <w:sz w:val="20"/>
              </w:rPr>
              <w:t xml:space="preserve"> </w:t>
            </w:r>
          </w:p>
          <w:p w14:paraId="7B29E318" w14:textId="77777777" w:rsidR="00B40FB2" w:rsidRPr="00A256D5" w:rsidRDefault="004123C2" w:rsidP="00A256D5">
            <w:pPr>
              <w:spacing w:after="0"/>
              <w:ind w:left="395" w:firstLine="0"/>
              <w:rPr>
                <w:rFonts w:ascii="IBM Plex Sans" w:hAnsi="IBM Plex Sans"/>
              </w:rPr>
            </w:pPr>
            <w:r w:rsidRPr="00A256D5">
              <w:rPr>
                <w:rFonts w:ascii="IBM Plex Sans" w:hAnsi="IBM Plex Sans"/>
                <w:color w:val="181818"/>
                <w:sz w:val="20"/>
              </w:rPr>
              <w:t xml:space="preserve"> </w:t>
            </w:r>
          </w:p>
        </w:tc>
      </w:tr>
    </w:tbl>
    <w:p w14:paraId="61A6C07C" w14:textId="77777777" w:rsidR="00B40FB2" w:rsidRPr="00595F31" w:rsidRDefault="00B40FB2">
      <w:pPr>
        <w:spacing w:after="0"/>
        <w:ind w:left="-1440" w:right="15465" w:firstLine="0"/>
        <w:rPr>
          <w:rFonts w:ascii="Lato" w:hAnsi="Lato"/>
        </w:rPr>
      </w:pPr>
    </w:p>
    <w:tbl>
      <w:tblPr>
        <w:tblStyle w:val="TableGrid"/>
        <w:tblW w:w="14311" w:type="dxa"/>
        <w:tblInd w:w="6" w:type="dxa"/>
        <w:tblLook w:val="04A0" w:firstRow="1" w:lastRow="0" w:firstColumn="1" w:lastColumn="0" w:noHBand="0" w:noVBand="1"/>
      </w:tblPr>
      <w:tblGrid>
        <w:gridCol w:w="4705"/>
        <w:gridCol w:w="9606"/>
      </w:tblGrid>
      <w:tr w:rsidR="00B40FB2" w:rsidRPr="00F31E38" w14:paraId="786F8077" w14:textId="77777777" w:rsidTr="00A256D5">
        <w:trPr>
          <w:trHeight w:val="8210"/>
        </w:trPr>
        <w:tc>
          <w:tcPr>
            <w:tcW w:w="4705" w:type="dxa"/>
          </w:tcPr>
          <w:p w14:paraId="55333268" w14:textId="77777777" w:rsidR="00B40FB2" w:rsidRPr="00F31E38" w:rsidRDefault="004123C2">
            <w:pPr>
              <w:spacing w:after="120" w:line="237" w:lineRule="auto"/>
              <w:ind w:left="360" w:hanging="360"/>
              <w:rPr>
                <w:rFonts w:ascii="IBM Plex Sans Light" w:hAnsi="IBM Plex Sans Light"/>
                <w:b/>
                <w:bCs/>
              </w:rPr>
            </w:pPr>
            <w:r w:rsidRPr="00F31E38">
              <w:rPr>
                <w:rFonts w:ascii="IBM Plex Sans Light" w:hAnsi="IBM Plex Sans Light"/>
                <w:b/>
                <w:bCs/>
                <w:sz w:val="20"/>
              </w:rPr>
              <w:lastRenderedPageBreak/>
              <w:t xml:space="preserve">2.4 </w:t>
            </w:r>
            <w:proofErr w:type="gramStart"/>
            <w:r w:rsidRPr="00F31E38">
              <w:rPr>
                <w:rFonts w:ascii="IBM Plex Sans Light" w:hAnsi="IBM Plex Sans Light"/>
                <w:b/>
                <w:bCs/>
                <w:sz w:val="20"/>
              </w:rPr>
              <w:t>A majority of</w:t>
            </w:r>
            <w:proofErr w:type="gramEnd"/>
            <w:r w:rsidRPr="00F31E38">
              <w:rPr>
                <w:rFonts w:ascii="IBM Plex Sans Light" w:hAnsi="IBM Plex Sans Light"/>
                <w:b/>
                <w:bCs/>
                <w:sz w:val="20"/>
              </w:rPr>
              <w:t xml:space="preserve"> the board of a listed entity should be independent directors. </w:t>
            </w:r>
          </w:p>
          <w:p w14:paraId="2821A60F" w14:textId="77777777" w:rsidR="00B40FB2" w:rsidRPr="00F31E38" w:rsidRDefault="004123C2">
            <w:pPr>
              <w:spacing w:after="0"/>
              <w:ind w:left="360" w:firstLine="0"/>
              <w:rPr>
                <w:rFonts w:ascii="IBM Plex Sans Light" w:hAnsi="IBM Plex Sans Light"/>
              </w:rPr>
            </w:pPr>
            <w:r w:rsidRPr="00F31E38">
              <w:rPr>
                <w:rFonts w:ascii="IBM Plex Sans Light" w:hAnsi="IBM Plex Sans Light"/>
                <w:sz w:val="20"/>
              </w:rPr>
              <w:t xml:space="preserve"> </w:t>
            </w:r>
          </w:p>
        </w:tc>
        <w:tc>
          <w:tcPr>
            <w:tcW w:w="9606" w:type="dxa"/>
          </w:tcPr>
          <w:p w14:paraId="2DEC64F8" w14:textId="77777777" w:rsidR="00B40FB2" w:rsidRPr="00A256D5" w:rsidRDefault="004123C2" w:rsidP="00A256D5">
            <w:pPr>
              <w:tabs>
                <w:tab w:val="left" w:pos="3090"/>
              </w:tabs>
              <w:spacing w:after="120"/>
              <w:ind w:left="254" w:firstLine="0"/>
              <w:rPr>
                <w:rFonts w:ascii="IBM Plex Sans" w:hAnsi="IBM Plex Sans"/>
              </w:rPr>
            </w:pPr>
            <w:r w:rsidRPr="00A256D5">
              <w:rPr>
                <w:rFonts w:ascii="IBM Plex Sans" w:hAnsi="IBM Plex Sans"/>
                <w:sz w:val="20"/>
              </w:rPr>
              <w:t xml:space="preserve">The composition of the Board is determined using the following principles: </w:t>
            </w:r>
          </w:p>
          <w:p w14:paraId="60EA3790" w14:textId="77777777" w:rsidR="00B40FB2" w:rsidRPr="00A256D5" w:rsidRDefault="004123C2" w:rsidP="00A256D5">
            <w:pPr>
              <w:numPr>
                <w:ilvl w:val="0"/>
                <w:numId w:val="12"/>
              </w:numPr>
              <w:spacing w:after="23" w:line="238" w:lineRule="auto"/>
              <w:ind w:left="679" w:hanging="425"/>
              <w:rPr>
                <w:rFonts w:ascii="IBM Plex Sans" w:hAnsi="IBM Plex Sans"/>
              </w:rPr>
            </w:pPr>
            <w:r w:rsidRPr="00A256D5">
              <w:rPr>
                <w:rFonts w:ascii="IBM Plex Sans" w:hAnsi="IBM Plex Sans"/>
                <w:sz w:val="20"/>
              </w:rPr>
              <w:t xml:space="preserve">a minimum of three directors (and a maximum of seven directors), with a broad range of expertise, </w:t>
            </w:r>
            <w:proofErr w:type="gramStart"/>
            <w:r w:rsidRPr="00A256D5">
              <w:rPr>
                <w:rFonts w:ascii="IBM Plex Sans" w:hAnsi="IBM Plex Sans"/>
                <w:sz w:val="20"/>
              </w:rPr>
              <w:t>a majority of</w:t>
            </w:r>
            <w:proofErr w:type="gramEnd"/>
            <w:r w:rsidRPr="00A256D5">
              <w:rPr>
                <w:rFonts w:ascii="IBM Plex Sans" w:hAnsi="IBM Plex Sans"/>
                <w:sz w:val="20"/>
              </w:rPr>
              <w:t xml:space="preserve"> directors having extensive knowledge of the property industry, and those who do not, have extensive expertise in significant aspects of auditing and financial reporting or strategy, marketing and operational and financial management of a professional services organisation, and. </w:t>
            </w:r>
          </w:p>
          <w:p w14:paraId="1462755E" w14:textId="77777777" w:rsidR="00B40FB2" w:rsidRPr="00A256D5" w:rsidRDefault="004123C2" w:rsidP="00A256D5">
            <w:pPr>
              <w:numPr>
                <w:ilvl w:val="0"/>
                <w:numId w:val="12"/>
              </w:numPr>
              <w:spacing w:after="80"/>
              <w:ind w:left="679" w:hanging="425"/>
              <w:rPr>
                <w:rFonts w:ascii="IBM Plex Sans" w:hAnsi="IBM Plex Sans"/>
              </w:rPr>
            </w:pPr>
            <w:proofErr w:type="gramStart"/>
            <w:r w:rsidRPr="00A256D5">
              <w:rPr>
                <w:rFonts w:ascii="IBM Plex Sans" w:hAnsi="IBM Plex Sans"/>
                <w:sz w:val="20"/>
              </w:rPr>
              <w:t>A majority of</w:t>
            </w:r>
            <w:proofErr w:type="gramEnd"/>
            <w:r w:rsidRPr="00A256D5">
              <w:rPr>
                <w:rFonts w:ascii="IBM Plex Sans" w:hAnsi="IBM Plex Sans"/>
                <w:sz w:val="20"/>
              </w:rPr>
              <w:t xml:space="preserve"> independent directors, as per ASX Best Practice Recommendation 2.4 </w:t>
            </w:r>
          </w:p>
          <w:p w14:paraId="203D59C3" w14:textId="77777777" w:rsidR="00B40FB2" w:rsidRPr="00A256D5" w:rsidRDefault="004123C2" w:rsidP="00A256D5">
            <w:pPr>
              <w:spacing w:after="120"/>
              <w:ind w:left="679" w:hanging="425"/>
              <w:rPr>
                <w:rFonts w:ascii="IBM Plex Sans" w:hAnsi="IBM Plex Sans"/>
              </w:rPr>
            </w:pPr>
            <w:r w:rsidRPr="00A256D5">
              <w:rPr>
                <w:rFonts w:ascii="IBM Plex Sans" w:hAnsi="IBM Plex Sans"/>
                <w:sz w:val="20"/>
              </w:rPr>
              <w:t xml:space="preserve">The current composition of the Board can be found on the Company’s </w:t>
            </w:r>
            <w:hyperlink r:id="rId21">
              <w:r w:rsidRPr="00A256D5">
                <w:rPr>
                  <w:rFonts w:ascii="IBM Plex Sans" w:hAnsi="IBM Plex Sans"/>
                  <w:color w:val="0000FF"/>
                  <w:sz w:val="20"/>
                  <w:u w:val="single" w:color="0000FF"/>
                </w:rPr>
                <w:t>website</w:t>
              </w:r>
            </w:hyperlink>
            <w:hyperlink r:id="rId22">
              <w:r w:rsidRPr="00A256D5">
                <w:rPr>
                  <w:rFonts w:ascii="IBM Plex Sans" w:hAnsi="IBM Plex Sans"/>
                  <w:sz w:val="20"/>
                </w:rPr>
                <w:t xml:space="preserve"> </w:t>
              </w:r>
            </w:hyperlink>
            <w:r w:rsidRPr="00A256D5">
              <w:rPr>
                <w:rFonts w:ascii="IBM Plex Sans" w:hAnsi="IBM Plex Sans"/>
                <w:sz w:val="20"/>
              </w:rPr>
              <w:t xml:space="preserve">and is as follows: </w:t>
            </w:r>
          </w:p>
          <w:p w14:paraId="6CA953AC" w14:textId="77777777" w:rsidR="00B40FB2" w:rsidRPr="00A256D5" w:rsidRDefault="004123C2" w:rsidP="00A256D5">
            <w:pPr>
              <w:numPr>
                <w:ilvl w:val="0"/>
                <w:numId w:val="12"/>
              </w:numPr>
              <w:spacing w:after="0"/>
              <w:ind w:left="679" w:hanging="425"/>
              <w:rPr>
                <w:rFonts w:ascii="IBM Plex Sans" w:hAnsi="IBM Plex Sans"/>
              </w:rPr>
            </w:pPr>
            <w:r w:rsidRPr="00A256D5">
              <w:rPr>
                <w:rFonts w:ascii="IBM Plex Sans" w:hAnsi="IBM Plex Sans"/>
                <w:sz w:val="20"/>
              </w:rPr>
              <w:t xml:space="preserve">two non-executive independent directors (one of which is the Chair); and </w:t>
            </w:r>
          </w:p>
          <w:p w14:paraId="36FBD26A" w14:textId="77777777" w:rsidR="00B40FB2" w:rsidRPr="00A256D5" w:rsidRDefault="004123C2" w:rsidP="00A256D5">
            <w:pPr>
              <w:numPr>
                <w:ilvl w:val="0"/>
                <w:numId w:val="12"/>
              </w:numPr>
              <w:spacing w:after="80"/>
              <w:ind w:left="679" w:hanging="425"/>
              <w:rPr>
                <w:rFonts w:ascii="IBM Plex Sans" w:hAnsi="IBM Plex Sans"/>
              </w:rPr>
            </w:pPr>
            <w:r w:rsidRPr="00A256D5">
              <w:rPr>
                <w:rFonts w:ascii="IBM Plex Sans" w:hAnsi="IBM Plex Sans"/>
                <w:sz w:val="20"/>
              </w:rPr>
              <w:t xml:space="preserve">one non-executive non-independent director. </w:t>
            </w:r>
          </w:p>
          <w:p w14:paraId="75C3F9C2" w14:textId="77777777" w:rsidR="00B40FB2" w:rsidRPr="00A256D5" w:rsidRDefault="004123C2" w:rsidP="00A256D5">
            <w:pPr>
              <w:spacing w:after="142" w:line="237" w:lineRule="auto"/>
              <w:ind w:left="679" w:hanging="425"/>
              <w:rPr>
                <w:rFonts w:ascii="IBM Plex Sans" w:hAnsi="IBM Plex Sans"/>
              </w:rPr>
            </w:pPr>
            <w:r w:rsidRPr="00A256D5">
              <w:rPr>
                <w:rFonts w:ascii="IBM Plex Sans" w:hAnsi="IBM Plex Sans"/>
                <w:sz w:val="20"/>
              </w:rPr>
              <w:t xml:space="preserve">An independent director is a Director who is not a member of management, known as a non-executive director, and who: </w:t>
            </w:r>
          </w:p>
          <w:p w14:paraId="7A516BBA" w14:textId="77777777" w:rsidR="00B40FB2" w:rsidRPr="00A256D5" w:rsidRDefault="004123C2" w:rsidP="00A256D5">
            <w:pPr>
              <w:numPr>
                <w:ilvl w:val="0"/>
                <w:numId w:val="12"/>
              </w:numPr>
              <w:spacing w:after="22"/>
              <w:ind w:left="679" w:hanging="425"/>
              <w:rPr>
                <w:rFonts w:ascii="IBM Plex Sans" w:hAnsi="IBM Plex Sans"/>
              </w:rPr>
            </w:pPr>
            <w:r w:rsidRPr="00A256D5">
              <w:rPr>
                <w:rFonts w:ascii="IBM Plex Sans" w:hAnsi="IBM Plex Sans"/>
                <w:sz w:val="20"/>
              </w:rPr>
              <w:t xml:space="preserve">holds less than 5% of the voting shares of the Company and is not an officer of, or otherwise associated, directly or indirectly, with a shareholder of more than 5% of the voting shares of the Company; </w:t>
            </w:r>
          </w:p>
          <w:p w14:paraId="209EC046" w14:textId="77777777" w:rsidR="00B40FB2" w:rsidRPr="00A256D5" w:rsidRDefault="004123C2" w:rsidP="00A256D5">
            <w:pPr>
              <w:numPr>
                <w:ilvl w:val="0"/>
                <w:numId w:val="12"/>
              </w:numPr>
              <w:spacing w:after="16" w:line="243" w:lineRule="auto"/>
              <w:ind w:left="679" w:hanging="425"/>
              <w:rPr>
                <w:rFonts w:ascii="IBM Plex Sans" w:hAnsi="IBM Plex Sans"/>
              </w:rPr>
            </w:pPr>
            <w:r w:rsidRPr="00A256D5">
              <w:rPr>
                <w:rFonts w:ascii="IBM Plex Sans" w:hAnsi="IBM Plex Sans"/>
                <w:sz w:val="20"/>
              </w:rPr>
              <w:t xml:space="preserve">has not, within the last three years, been employed in an executive capacity by the Company or another group member, or been a director after ceasing to hold any such employment; </w:t>
            </w:r>
          </w:p>
          <w:p w14:paraId="05430118" w14:textId="77777777" w:rsidR="00B40FB2" w:rsidRPr="00A256D5" w:rsidRDefault="004123C2" w:rsidP="00A256D5">
            <w:pPr>
              <w:numPr>
                <w:ilvl w:val="0"/>
                <w:numId w:val="12"/>
              </w:numPr>
              <w:spacing w:after="19" w:line="243" w:lineRule="auto"/>
              <w:ind w:left="679" w:hanging="425"/>
              <w:rPr>
                <w:rFonts w:ascii="IBM Plex Sans" w:hAnsi="IBM Plex Sans"/>
              </w:rPr>
            </w:pPr>
            <w:r w:rsidRPr="00A256D5">
              <w:rPr>
                <w:rFonts w:ascii="IBM Plex Sans" w:hAnsi="IBM Plex Sans"/>
                <w:sz w:val="20"/>
              </w:rPr>
              <w:t xml:space="preserve">within the last three years has not been a principal or employee of a material* professional advisor or a material* consultant to the Company or another group member; </w:t>
            </w:r>
          </w:p>
          <w:p w14:paraId="768DAA04" w14:textId="77777777" w:rsidR="00B40FB2" w:rsidRPr="00A256D5" w:rsidRDefault="004123C2" w:rsidP="00A256D5">
            <w:pPr>
              <w:numPr>
                <w:ilvl w:val="0"/>
                <w:numId w:val="12"/>
              </w:numPr>
              <w:spacing w:after="16" w:line="243" w:lineRule="auto"/>
              <w:ind w:left="679" w:hanging="425"/>
              <w:rPr>
                <w:rFonts w:ascii="IBM Plex Sans" w:hAnsi="IBM Plex Sans"/>
              </w:rPr>
            </w:pPr>
            <w:r w:rsidRPr="00A256D5">
              <w:rPr>
                <w:rFonts w:ascii="IBM Plex Sans" w:hAnsi="IBM Plex Sans"/>
                <w:sz w:val="20"/>
              </w:rPr>
              <w:t xml:space="preserve">is not a material* supplier or client of the Company or another group member, or an officer of or otherwise associated, directly or indirectly, with a material* supplier or client; </w:t>
            </w:r>
          </w:p>
          <w:p w14:paraId="33C0536A" w14:textId="77777777" w:rsidR="00B40FB2" w:rsidRPr="00A256D5" w:rsidRDefault="004123C2" w:rsidP="00A256D5">
            <w:pPr>
              <w:numPr>
                <w:ilvl w:val="0"/>
                <w:numId w:val="12"/>
              </w:numPr>
              <w:spacing w:after="19" w:line="243" w:lineRule="auto"/>
              <w:ind w:left="679" w:hanging="425"/>
              <w:rPr>
                <w:rFonts w:ascii="IBM Plex Sans" w:hAnsi="IBM Plex Sans"/>
              </w:rPr>
            </w:pPr>
            <w:r w:rsidRPr="00A256D5">
              <w:rPr>
                <w:rFonts w:ascii="IBM Plex Sans" w:hAnsi="IBM Plex Sans"/>
                <w:sz w:val="20"/>
              </w:rPr>
              <w:t xml:space="preserve">has no material* contractual relationship with the Company or another group member other than as a director of the Company;  </w:t>
            </w:r>
          </w:p>
          <w:p w14:paraId="744CDC00" w14:textId="77777777" w:rsidR="00B40FB2" w:rsidRPr="00A256D5" w:rsidRDefault="004123C2" w:rsidP="00A256D5">
            <w:pPr>
              <w:numPr>
                <w:ilvl w:val="0"/>
                <w:numId w:val="12"/>
              </w:numPr>
              <w:spacing w:after="23"/>
              <w:ind w:left="679" w:hanging="425"/>
              <w:rPr>
                <w:rFonts w:ascii="IBM Plex Sans" w:hAnsi="IBM Plex Sans"/>
              </w:rPr>
            </w:pPr>
            <w:r w:rsidRPr="00A256D5">
              <w:rPr>
                <w:rFonts w:ascii="IBM Plex Sans" w:hAnsi="IBM Plex Sans"/>
                <w:sz w:val="20"/>
              </w:rPr>
              <w:t xml:space="preserve">is free from any interest and any business or other relationship which could, or could reasonably be perceived to materially* interfere with the director’s ability to act in the best interests of the Company; and </w:t>
            </w:r>
          </w:p>
          <w:p w14:paraId="43A0EBAE" w14:textId="77777777" w:rsidR="00B40FB2" w:rsidRPr="00A256D5" w:rsidRDefault="004123C2" w:rsidP="00A256D5">
            <w:pPr>
              <w:numPr>
                <w:ilvl w:val="0"/>
                <w:numId w:val="12"/>
              </w:numPr>
              <w:spacing w:after="77"/>
              <w:ind w:left="679" w:hanging="425"/>
              <w:rPr>
                <w:rFonts w:ascii="IBM Plex Sans" w:hAnsi="IBM Plex Sans"/>
              </w:rPr>
            </w:pPr>
            <w:r w:rsidRPr="00A256D5">
              <w:rPr>
                <w:rFonts w:ascii="IBM Plex Sans" w:hAnsi="IBM Plex Sans"/>
                <w:sz w:val="20"/>
              </w:rPr>
              <w:t xml:space="preserve">has not served 10 or more years on the Board. </w:t>
            </w:r>
          </w:p>
          <w:p w14:paraId="0F7E3979" w14:textId="77777777" w:rsidR="00B40FB2" w:rsidRPr="00A256D5" w:rsidRDefault="004123C2" w:rsidP="00A256D5">
            <w:pPr>
              <w:spacing w:after="0"/>
              <w:ind w:left="679" w:hanging="425"/>
              <w:rPr>
                <w:rFonts w:ascii="IBM Plex Sans" w:hAnsi="IBM Plex Sans"/>
              </w:rPr>
            </w:pPr>
            <w:r w:rsidRPr="00A256D5">
              <w:rPr>
                <w:rFonts w:ascii="IBM Plex Sans" w:hAnsi="IBM Plex Sans"/>
                <w:sz w:val="20"/>
              </w:rPr>
              <w:t xml:space="preserve">* The Board considers ‘material’, in this context, to be where any director-related business relationship has represented, or is likely in future to represent, the lesser of at least 10% of the relevant segment’s or the director-related business’s revenue.  </w:t>
            </w:r>
          </w:p>
        </w:tc>
      </w:tr>
      <w:tr w:rsidR="00B40FB2" w:rsidRPr="00F31E38" w14:paraId="3E2D8222" w14:textId="77777777" w:rsidTr="00A256D5">
        <w:trPr>
          <w:trHeight w:val="1210"/>
        </w:trPr>
        <w:tc>
          <w:tcPr>
            <w:tcW w:w="4705" w:type="dxa"/>
          </w:tcPr>
          <w:p w14:paraId="68A04732" w14:textId="38CFD96D" w:rsidR="00B40FB2" w:rsidRPr="00F31E38" w:rsidRDefault="004123C2">
            <w:pPr>
              <w:spacing w:after="0"/>
              <w:ind w:left="360" w:hanging="360"/>
              <w:rPr>
                <w:rFonts w:ascii="IBM Plex Sans Light" w:hAnsi="IBM Plex Sans Light"/>
                <w:b/>
                <w:bCs/>
              </w:rPr>
            </w:pPr>
            <w:r w:rsidRPr="00F31E38">
              <w:rPr>
                <w:rFonts w:ascii="IBM Plex Sans Light" w:hAnsi="IBM Plex Sans Light"/>
                <w:b/>
                <w:bCs/>
                <w:sz w:val="20"/>
              </w:rPr>
              <w:lastRenderedPageBreak/>
              <w:t>2.5 The chair of the board of a listed entity should be an independent director and</w:t>
            </w:r>
            <w:proofErr w:type="gramStart"/>
            <w:r w:rsidRPr="00F31E38">
              <w:rPr>
                <w:rFonts w:ascii="IBM Plex Sans Light" w:hAnsi="IBM Plex Sans Light"/>
                <w:b/>
                <w:bCs/>
                <w:sz w:val="20"/>
              </w:rPr>
              <w:t>, in particular, should</w:t>
            </w:r>
            <w:proofErr w:type="gramEnd"/>
            <w:r w:rsidRPr="00F31E38">
              <w:rPr>
                <w:rFonts w:ascii="IBM Plex Sans Light" w:hAnsi="IBM Plex Sans Light"/>
                <w:b/>
                <w:bCs/>
                <w:sz w:val="20"/>
              </w:rPr>
              <w:t xml:space="preserve"> not be the same person as the CEO of the entity. </w:t>
            </w:r>
          </w:p>
        </w:tc>
        <w:tc>
          <w:tcPr>
            <w:tcW w:w="9606" w:type="dxa"/>
          </w:tcPr>
          <w:p w14:paraId="67D82DA4" w14:textId="77777777" w:rsidR="00B40FB2" w:rsidRPr="00A256D5" w:rsidRDefault="004123C2" w:rsidP="00A256D5">
            <w:pPr>
              <w:tabs>
                <w:tab w:val="left" w:pos="3090"/>
              </w:tabs>
              <w:spacing w:after="97"/>
              <w:ind w:left="254" w:firstLine="0"/>
              <w:rPr>
                <w:rFonts w:ascii="IBM Plex Sans" w:hAnsi="IBM Plex Sans"/>
              </w:rPr>
            </w:pPr>
            <w:r w:rsidRPr="00A256D5">
              <w:rPr>
                <w:rFonts w:ascii="IBM Plex Sans" w:hAnsi="IBM Plex Sans"/>
                <w:sz w:val="20"/>
              </w:rPr>
              <w:t xml:space="preserve">The current Chair of the Board is an independent director. </w:t>
            </w:r>
          </w:p>
          <w:p w14:paraId="6B5BDCAB" w14:textId="77777777" w:rsidR="00B40FB2" w:rsidRPr="00A256D5" w:rsidRDefault="004123C2" w:rsidP="00A256D5">
            <w:pPr>
              <w:tabs>
                <w:tab w:val="left" w:pos="3090"/>
              </w:tabs>
              <w:spacing w:after="0"/>
              <w:ind w:left="254" w:firstLine="0"/>
              <w:rPr>
                <w:rFonts w:ascii="IBM Plex Sans" w:hAnsi="IBM Plex Sans"/>
              </w:rPr>
            </w:pPr>
            <w:r w:rsidRPr="00A256D5">
              <w:rPr>
                <w:rFonts w:ascii="IBM Plex Sans" w:hAnsi="IBM Plex Sans"/>
                <w:sz w:val="20"/>
              </w:rPr>
              <w:t xml:space="preserve"> </w:t>
            </w:r>
          </w:p>
        </w:tc>
      </w:tr>
      <w:tr w:rsidR="00B40FB2" w:rsidRPr="00F31E38" w14:paraId="30B8E939" w14:textId="77777777" w:rsidTr="00A256D5">
        <w:trPr>
          <w:trHeight w:val="1689"/>
        </w:trPr>
        <w:tc>
          <w:tcPr>
            <w:tcW w:w="4705" w:type="dxa"/>
          </w:tcPr>
          <w:p w14:paraId="72E62F7C" w14:textId="77777777" w:rsidR="00B40FB2" w:rsidRPr="00F31E38" w:rsidRDefault="004123C2">
            <w:pPr>
              <w:spacing w:after="0"/>
              <w:ind w:left="360" w:hanging="360"/>
              <w:rPr>
                <w:rFonts w:ascii="IBM Plex Sans Light" w:hAnsi="IBM Plex Sans Light"/>
                <w:b/>
                <w:bCs/>
              </w:rPr>
            </w:pPr>
            <w:r w:rsidRPr="00F31E38">
              <w:rPr>
                <w:rFonts w:ascii="IBM Plex Sans Light" w:hAnsi="IBM Plex Sans Light"/>
                <w:b/>
                <w:bCs/>
                <w:sz w:val="20"/>
              </w:rPr>
              <w:t xml:space="preserve">2.6 A listed entity should have a program for inducting new directors and provide appropriate professional development opportunities for directors to develop and maintain the skills and knowledge needed to perform their role as directors effectively. </w:t>
            </w:r>
          </w:p>
        </w:tc>
        <w:tc>
          <w:tcPr>
            <w:tcW w:w="9606" w:type="dxa"/>
          </w:tcPr>
          <w:p w14:paraId="03B89FC9" w14:textId="77777777" w:rsidR="00B40FB2" w:rsidRPr="00A256D5" w:rsidRDefault="004123C2" w:rsidP="00A256D5">
            <w:pPr>
              <w:tabs>
                <w:tab w:val="left" w:pos="3090"/>
              </w:tabs>
              <w:spacing w:after="121" w:line="237" w:lineRule="auto"/>
              <w:ind w:left="254" w:firstLine="0"/>
              <w:rPr>
                <w:rFonts w:ascii="IBM Plex Sans" w:hAnsi="IBM Plex Sans"/>
              </w:rPr>
            </w:pPr>
            <w:r w:rsidRPr="00A256D5">
              <w:rPr>
                <w:rFonts w:ascii="IBM Plex Sans" w:hAnsi="IBM Plex Sans"/>
                <w:sz w:val="20"/>
              </w:rPr>
              <w:t xml:space="preserve">The Company Secretary, as led by the Chair, is responsible for inducting new directors and ensuring ongoing development.  </w:t>
            </w:r>
          </w:p>
          <w:p w14:paraId="5CD69FAF" w14:textId="77777777" w:rsidR="00B40FB2" w:rsidRPr="00A256D5" w:rsidRDefault="004123C2" w:rsidP="00A256D5">
            <w:pPr>
              <w:tabs>
                <w:tab w:val="left" w:pos="3090"/>
              </w:tabs>
              <w:spacing w:after="0"/>
              <w:ind w:left="254" w:firstLine="0"/>
              <w:rPr>
                <w:rFonts w:ascii="IBM Plex Sans" w:hAnsi="IBM Plex Sans"/>
              </w:rPr>
            </w:pPr>
            <w:r w:rsidRPr="00A256D5">
              <w:rPr>
                <w:rFonts w:ascii="IBM Plex Sans" w:hAnsi="IBM Plex Sans"/>
                <w:sz w:val="20"/>
              </w:rPr>
              <w:t xml:space="preserve">An induction program that provides all relevant information about the company, including organisational structure, types of business activities, governance framework and relevant policies is provided to new directors.  </w:t>
            </w:r>
          </w:p>
        </w:tc>
      </w:tr>
    </w:tbl>
    <w:p w14:paraId="40D7F1B8" w14:textId="77777777" w:rsidR="00B40FB2" w:rsidRPr="00595F31" w:rsidRDefault="004123C2">
      <w:pPr>
        <w:spacing w:after="100"/>
        <w:ind w:left="0" w:firstLine="0"/>
        <w:rPr>
          <w:rFonts w:ascii="Lato" w:hAnsi="Lato"/>
        </w:rPr>
      </w:pPr>
      <w:r w:rsidRPr="00595F31">
        <w:rPr>
          <w:rFonts w:ascii="Lato" w:hAnsi="Lato"/>
          <w:sz w:val="20"/>
        </w:rPr>
        <w:t xml:space="preserve"> </w:t>
      </w:r>
    </w:p>
    <w:p w14:paraId="3760FAA8" w14:textId="77777777" w:rsidR="00B40FB2" w:rsidRPr="00595F31" w:rsidRDefault="004123C2">
      <w:pPr>
        <w:spacing w:after="0"/>
        <w:ind w:left="0" w:firstLine="0"/>
        <w:jc w:val="both"/>
        <w:rPr>
          <w:rFonts w:ascii="Lato" w:hAnsi="Lato"/>
        </w:rPr>
      </w:pPr>
      <w:r w:rsidRPr="00595F31">
        <w:rPr>
          <w:rFonts w:ascii="Lato" w:hAnsi="Lato"/>
          <w:sz w:val="20"/>
        </w:rPr>
        <w:t xml:space="preserve"> </w:t>
      </w:r>
      <w:r w:rsidRPr="00595F31">
        <w:rPr>
          <w:rFonts w:ascii="Lato" w:hAnsi="Lato"/>
          <w:sz w:val="20"/>
        </w:rPr>
        <w:tab/>
        <w:t xml:space="preserve"> </w:t>
      </w:r>
      <w:r w:rsidRPr="00595F31">
        <w:rPr>
          <w:rFonts w:ascii="Lato" w:hAnsi="Lato"/>
        </w:rPr>
        <w:br w:type="page"/>
      </w:r>
    </w:p>
    <w:tbl>
      <w:tblPr>
        <w:tblStyle w:val="TableGrid0"/>
        <w:tblW w:w="14034" w:type="dxa"/>
        <w:tblLook w:val="04A0" w:firstRow="1" w:lastRow="0" w:firstColumn="1" w:lastColumn="0" w:noHBand="0" w:noVBand="1"/>
      </w:tblPr>
      <w:tblGrid>
        <w:gridCol w:w="4705"/>
        <w:gridCol w:w="9329"/>
      </w:tblGrid>
      <w:tr w:rsidR="003E359B" w:rsidRPr="003E359B" w14:paraId="583FE6A7" w14:textId="77777777" w:rsidTr="00576F03">
        <w:trPr>
          <w:trHeight w:val="538"/>
        </w:trPr>
        <w:tc>
          <w:tcPr>
            <w:tcW w:w="14034" w:type="dxa"/>
            <w:gridSpan w:val="2"/>
            <w:shd w:val="clear" w:color="auto" w:fill="15420C"/>
          </w:tcPr>
          <w:p w14:paraId="37732ADB" w14:textId="36294FC3" w:rsidR="003E359B" w:rsidRPr="003E359B" w:rsidRDefault="003E359B">
            <w:pPr>
              <w:spacing w:after="160"/>
              <w:ind w:left="0" w:firstLine="0"/>
              <w:rPr>
                <w:rFonts w:ascii="IBM Plex Sans Light" w:hAnsi="IBM Plex Sans Light"/>
              </w:rPr>
            </w:pPr>
            <w:r w:rsidRPr="003E359B">
              <w:rPr>
                <w:rFonts w:ascii="IBM Plex Serif Text" w:hAnsi="IBM Plex Serif Text"/>
                <w:color w:val="FFFFFF"/>
                <w:sz w:val="24"/>
              </w:rPr>
              <w:lastRenderedPageBreak/>
              <w:t>3.</w:t>
            </w:r>
            <w:r w:rsidRPr="003E359B">
              <w:rPr>
                <w:rFonts w:ascii="IBM Plex Serif Text" w:eastAsia="Arial" w:hAnsi="IBM Plex Serif Text" w:cs="Arial"/>
                <w:b/>
                <w:color w:val="FFFFFF"/>
                <w:sz w:val="24"/>
              </w:rPr>
              <w:t xml:space="preserve"> </w:t>
            </w:r>
            <w:r w:rsidRPr="003E359B">
              <w:rPr>
                <w:rFonts w:ascii="IBM Plex Serif Text" w:hAnsi="IBM Plex Serif Text"/>
                <w:color w:val="FFFFFF"/>
                <w:sz w:val="24"/>
              </w:rPr>
              <w:t>ACT ETHICALLY AND RESPONSIBLY</w:t>
            </w:r>
            <w:r w:rsidRPr="003E359B">
              <w:rPr>
                <w:rFonts w:ascii="IBM Plex Serif Text" w:hAnsi="IBM Plex Serif Text"/>
                <w:color w:val="FFFFFF"/>
                <w:sz w:val="20"/>
              </w:rPr>
              <w:t xml:space="preserve"> </w:t>
            </w:r>
          </w:p>
        </w:tc>
      </w:tr>
      <w:tr w:rsidR="00B40FB2" w:rsidRPr="003E359B" w14:paraId="4CF537EC" w14:textId="77777777" w:rsidTr="003E359B">
        <w:trPr>
          <w:trHeight w:val="3369"/>
        </w:trPr>
        <w:tc>
          <w:tcPr>
            <w:tcW w:w="4705" w:type="dxa"/>
          </w:tcPr>
          <w:p w14:paraId="26807F5E" w14:textId="77777777" w:rsidR="00B40FB2" w:rsidRPr="00A256D5" w:rsidRDefault="004123C2">
            <w:pPr>
              <w:spacing w:after="117"/>
              <w:ind w:left="0" w:firstLine="0"/>
              <w:rPr>
                <w:rFonts w:ascii="IBM Plex Sans" w:hAnsi="IBM Plex Sans"/>
                <w:b/>
                <w:bCs/>
                <w:sz w:val="20"/>
                <w:szCs w:val="20"/>
              </w:rPr>
            </w:pPr>
            <w:r w:rsidRPr="00A256D5">
              <w:rPr>
                <w:rFonts w:ascii="IBM Plex Sans" w:hAnsi="IBM Plex Sans"/>
                <w:b/>
                <w:bCs/>
                <w:sz w:val="20"/>
                <w:szCs w:val="20"/>
              </w:rPr>
              <w:t xml:space="preserve">3.1 A listed entity should: </w:t>
            </w:r>
          </w:p>
          <w:p w14:paraId="2AA305CD" w14:textId="77777777" w:rsidR="00B40FB2" w:rsidRPr="00A256D5" w:rsidRDefault="004123C2">
            <w:pPr>
              <w:numPr>
                <w:ilvl w:val="0"/>
                <w:numId w:val="13"/>
              </w:numPr>
              <w:spacing w:after="140" w:line="237" w:lineRule="auto"/>
              <w:ind w:hanging="360"/>
              <w:rPr>
                <w:rFonts w:ascii="IBM Plex Sans" w:hAnsi="IBM Plex Sans"/>
                <w:b/>
                <w:bCs/>
                <w:sz w:val="20"/>
                <w:szCs w:val="20"/>
              </w:rPr>
            </w:pPr>
            <w:r w:rsidRPr="00A256D5">
              <w:rPr>
                <w:rFonts w:ascii="IBM Plex Sans" w:hAnsi="IBM Plex Sans"/>
                <w:b/>
                <w:bCs/>
                <w:sz w:val="20"/>
                <w:szCs w:val="20"/>
              </w:rPr>
              <w:t xml:space="preserve">have a code of conduct for its directors, senior executives and employees; and </w:t>
            </w:r>
          </w:p>
          <w:p w14:paraId="4B225C58" w14:textId="77777777" w:rsidR="00B40FB2" w:rsidRPr="00A256D5" w:rsidRDefault="004123C2">
            <w:pPr>
              <w:numPr>
                <w:ilvl w:val="0"/>
                <w:numId w:val="13"/>
              </w:numPr>
              <w:spacing w:after="98"/>
              <w:ind w:hanging="360"/>
              <w:rPr>
                <w:rFonts w:ascii="IBM Plex Sans" w:hAnsi="IBM Plex Sans"/>
                <w:b/>
                <w:bCs/>
                <w:sz w:val="20"/>
                <w:szCs w:val="20"/>
              </w:rPr>
            </w:pPr>
            <w:r w:rsidRPr="00A256D5">
              <w:rPr>
                <w:rFonts w:ascii="IBM Plex Sans" w:hAnsi="IBM Plex Sans"/>
                <w:b/>
                <w:bCs/>
                <w:sz w:val="20"/>
                <w:szCs w:val="20"/>
              </w:rPr>
              <w:t xml:space="preserve">disclose that code or a summary of it. </w:t>
            </w:r>
          </w:p>
          <w:p w14:paraId="003D71C4" w14:textId="77777777" w:rsidR="00B40FB2" w:rsidRPr="00A256D5" w:rsidRDefault="004123C2">
            <w:pPr>
              <w:spacing w:after="0"/>
              <w:ind w:left="0" w:firstLine="0"/>
              <w:rPr>
                <w:rFonts w:ascii="IBM Plex Sans" w:hAnsi="IBM Plex Sans"/>
                <w:sz w:val="20"/>
                <w:szCs w:val="20"/>
              </w:rPr>
            </w:pPr>
            <w:r w:rsidRPr="00A256D5">
              <w:rPr>
                <w:rFonts w:ascii="IBM Plex Sans" w:hAnsi="IBM Plex Sans"/>
                <w:sz w:val="20"/>
                <w:szCs w:val="20"/>
              </w:rPr>
              <w:t xml:space="preserve"> </w:t>
            </w:r>
          </w:p>
        </w:tc>
        <w:tc>
          <w:tcPr>
            <w:tcW w:w="9329" w:type="dxa"/>
          </w:tcPr>
          <w:p w14:paraId="50421EDB" w14:textId="2B3B8CAC" w:rsidR="00B40FB2" w:rsidRPr="00A256D5" w:rsidRDefault="00D849CA">
            <w:pPr>
              <w:spacing w:after="120" w:line="237" w:lineRule="auto"/>
              <w:ind w:left="2" w:firstLine="0"/>
              <w:rPr>
                <w:rFonts w:ascii="IBM Plex Sans" w:hAnsi="IBM Plex Sans"/>
                <w:sz w:val="20"/>
                <w:szCs w:val="20"/>
              </w:rPr>
            </w:pPr>
            <w:r w:rsidRPr="00A256D5">
              <w:rPr>
                <w:rFonts w:ascii="IBM Plex Sans" w:hAnsi="IBM Plex Sans"/>
                <w:sz w:val="20"/>
                <w:szCs w:val="20"/>
              </w:rPr>
              <w:t>Acumentis</w:t>
            </w:r>
            <w:r w:rsidR="004123C2" w:rsidRPr="00A256D5">
              <w:rPr>
                <w:rFonts w:ascii="IBM Plex Sans" w:hAnsi="IBM Plex Sans"/>
                <w:sz w:val="20"/>
                <w:szCs w:val="20"/>
              </w:rPr>
              <w:t xml:space="preserve"> has a Code of Conduct for all staff and a </w:t>
            </w:r>
            <w:hyperlink r:id="rId23">
              <w:r w:rsidR="004123C2" w:rsidRPr="00A256D5">
                <w:rPr>
                  <w:rFonts w:ascii="IBM Plex Sans" w:hAnsi="IBM Plex Sans"/>
                  <w:color w:val="0000FF"/>
                  <w:sz w:val="20"/>
                  <w:szCs w:val="20"/>
                  <w:u w:val="single" w:color="0000FF"/>
                </w:rPr>
                <w:t>Director’s Code of Ethics</w:t>
              </w:r>
            </w:hyperlink>
            <w:hyperlink r:id="rId24">
              <w:r w:rsidR="004123C2" w:rsidRPr="00A256D5">
                <w:rPr>
                  <w:rFonts w:ascii="IBM Plex Sans" w:hAnsi="IBM Plex Sans"/>
                  <w:sz w:val="20"/>
                  <w:szCs w:val="20"/>
                </w:rPr>
                <w:t xml:space="preserve"> </w:t>
              </w:r>
            </w:hyperlink>
            <w:r w:rsidR="004123C2" w:rsidRPr="00A256D5">
              <w:rPr>
                <w:rFonts w:ascii="IBM Plex Sans" w:hAnsi="IBM Plex Sans"/>
                <w:sz w:val="20"/>
                <w:szCs w:val="20"/>
              </w:rPr>
              <w:t xml:space="preserve">for Directors and Senior Executives.  </w:t>
            </w:r>
          </w:p>
          <w:p w14:paraId="13A6894F" w14:textId="77777777" w:rsidR="00B40FB2" w:rsidRPr="00A256D5" w:rsidRDefault="004123C2">
            <w:pPr>
              <w:spacing w:after="0" w:line="237" w:lineRule="auto"/>
              <w:ind w:left="2" w:firstLine="0"/>
              <w:rPr>
                <w:rFonts w:ascii="IBM Plex Sans" w:hAnsi="IBM Plex Sans"/>
                <w:sz w:val="20"/>
                <w:szCs w:val="20"/>
              </w:rPr>
            </w:pPr>
            <w:r w:rsidRPr="00A256D5">
              <w:rPr>
                <w:rFonts w:ascii="IBM Plex Sans" w:hAnsi="IBM Plex Sans"/>
                <w:sz w:val="20"/>
                <w:szCs w:val="20"/>
              </w:rPr>
              <w:t>The Code of Conduct policy requires all employees to conduct themselves according to the highest standards of ethics, integrity, and behaviour when dealing with our clients, colleagues and other stake</w:t>
            </w:r>
            <w:bookmarkStart w:id="0" w:name="_GoBack"/>
            <w:bookmarkEnd w:id="0"/>
            <w:r w:rsidRPr="00A256D5">
              <w:rPr>
                <w:rFonts w:ascii="IBM Plex Sans" w:hAnsi="IBM Plex Sans"/>
                <w:sz w:val="20"/>
                <w:szCs w:val="20"/>
              </w:rPr>
              <w:t xml:space="preserve">holders. This includes, but is not necessarily limited to, full compliance with all legal obligations imposed by statute or any other source of law. </w:t>
            </w:r>
          </w:p>
          <w:p w14:paraId="76EE6414"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 </w:t>
            </w:r>
          </w:p>
          <w:p w14:paraId="32823EF0" w14:textId="77777777" w:rsidR="00B40FB2" w:rsidRPr="00A256D5" w:rsidRDefault="004123C2">
            <w:pPr>
              <w:spacing w:after="120" w:line="237" w:lineRule="auto"/>
              <w:ind w:left="2" w:firstLine="0"/>
              <w:rPr>
                <w:rFonts w:ascii="IBM Plex Sans" w:hAnsi="IBM Plex Sans"/>
                <w:sz w:val="20"/>
                <w:szCs w:val="20"/>
              </w:rPr>
            </w:pPr>
            <w:r w:rsidRPr="00A256D5">
              <w:rPr>
                <w:rFonts w:ascii="IBM Plex Sans" w:hAnsi="IBM Plex Sans"/>
                <w:sz w:val="20"/>
                <w:szCs w:val="20"/>
              </w:rPr>
              <w:t xml:space="preserve">This Code of Conduct establishes the standards of behaviour that must be met by all employees. Where these standards are not met, appropriate disciplinary action will be taken. In cases where the breach involves serious misconduct, this may result in instant dismissal. In cases where a breach of the policy involves a breach of any law, then the relevant government authorities or the police may be notified. </w:t>
            </w:r>
          </w:p>
          <w:p w14:paraId="49B557C7"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Directors’ Code of Ethics is posted on the Company's </w:t>
            </w:r>
            <w:hyperlink r:id="rId25">
              <w:r w:rsidRPr="00A256D5">
                <w:rPr>
                  <w:rFonts w:ascii="IBM Plex Sans" w:hAnsi="IBM Plex Sans"/>
                  <w:color w:val="0000FF"/>
                  <w:sz w:val="20"/>
                  <w:szCs w:val="20"/>
                  <w:u w:val="single" w:color="0000FF"/>
                </w:rPr>
                <w:t>website</w:t>
              </w:r>
            </w:hyperlink>
            <w:hyperlink r:id="rId26">
              <w:r w:rsidRPr="00A256D5">
                <w:rPr>
                  <w:rFonts w:ascii="IBM Plex Sans" w:hAnsi="IBM Plex Sans"/>
                  <w:sz w:val="20"/>
                  <w:szCs w:val="20"/>
                </w:rPr>
                <w:t>.</w:t>
              </w:r>
            </w:hyperlink>
            <w:r w:rsidRPr="00A256D5">
              <w:rPr>
                <w:rFonts w:ascii="IBM Plex Sans" w:hAnsi="IBM Plex Sans"/>
                <w:sz w:val="20"/>
                <w:szCs w:val="20"/>
              </w:rPr>
              <w:t xml:space="preserve"> </w:t>
            </w:r>
          </w:p>
        </w:tc>
      </w:tr>
    </w:tbl>
    <w:p w14:paraId="766F2F46" w14:textId="77777777" w:rsidR="00595F31" w:rsidRDefault="004123C2">
      <w:pPr>
        <w:spacing w:after="100"/>
        <w:ind w:left="0" w:firstLine="0"/>
        <w:rPr>
          <w:rFonts w:ascii="Lato" w:hAnsi="Lato"/>
          <w:sz w:val="20"/>
        </w:rPr>
      </w:pPr>
      <w:r w:rsidRPr="00595F31">
        <w:rPr>
          <w:rFonts w:ascii="Lato" w:hAnsi="Lato"/>
          <w:sz w:val="20"/>
        </w:rPr>
        <w:t xml:space="preserve"> </w:t>
      </w:r>
    </w:p>
    <w:p w14:paraId="227588C4" w14:textId="77777777" w:rsidR="00B40FB2" w:rsidRPr="00595F31" w:rsidRDefault="00595F31" w:rsidP="00595F31">
      <w:pPr>
        <w:spacing w:after="160"/>
        <w:ind w:left="0" w:firstLine="0"/>
        <w:rPr>
          <w:rFonts w:ascii="Lato" w:hAnsi="Lato"/>
          <w:sz w:val="20"/>
        </w:rPr>
      </w:pPr>
      <w:r>
        <w:rPr>
          <w:rFonts w:ascii="Lato" w:hAnsi="Lato"/>
          <w:sz w:val="20"/>
        </w:rPr>
        <w:br w:type="page"/>
      </w:r>
    </w:p>
    <w:p w14:paraId="120C9641" w14:textId="77777777" w:rsidR="00B40FB2" w:rsidRPr="00595F31" w:rsidRDefault="00B40FB2">
      <w:pPr>
        <w:spacing w:after="0"/>
        <w:ind w:left="-1440" w:right="15465" w:firstLine="0"/>
        <w:rPr>
          <w:rFonts w:ascii="Lato" w:hAnsi="Lato"/>
        </w:rPr>
      </w:pPr>
    </w:p>
    <w:tbl>
      <w:tblPr>
        <w:tblStyle w:val="TableGrid0"/>
        <w:tblW w:w="14034" w:type="dxa"/>
        <w:tblLook w:val="04A0" w:firstRow="1" w:lastRow="0" w:firstColumn="1" w:lastColumn="0" w:noHBand="0" w:noVBand="1"/>
      </w:tblPr>
      <w:tblGrid>
        <w:gridCol w:w="4705"/>
        <w:gridCol w:w="9329"/>
      </w:tblGrid>
      <w:tr w:rsidR="00B40FB2" w:rsidRPr="003E359B" w14:paraId="2B3D8D42" w14:textId="77777777" w:rsidTr="003E359B">
        <w:trPr>
          <w:trHeight w:val="538"/>
        </w:trPr>
        <w:tc>
          <w:tcPr>
            <w:tcW w:w="14034" w:type="dxa"/>
            <w:gridSpan w:val="2"/>
            <w:shd w:val="clear" w:color="auto" w:fill="15420C"/>
          </w:tcPr>
          <w:p w14:paraId="07ED074B" w14:textId="77777777" w:rsidR="00B40FB2" w:rsidRPr="003E359B" w:rsidRDefault="004123C2">
            <w:pPr>
              <w:spacing w:after="0"/>
              <w:ind w:left="0" w:firstLine="0"/>
              <w:rPr>
                <w:rFonts w:ascii="IBM Plex Serif Text" w:hAnsi="IBM Plex Serif Text"/>
              </w:rPr>
            </w:pPr>
            <w:r w:rsidRPr="003E359B">
              <w:rPr>
                <w:rFonts w:ascii="IBM Plex Serif Text" w:hAnsi="IBM Plex Serif Text"/>
                <w:color w:val="FFFFFF"/>
                <w:sz w:val="24"/>
              </w:rPr>
              <w:t>4.</w:t>
            </w:r>
            <w:r w:rsidRPr="003E359B">
              <w:rPr>
                <w:rFonts w:ascii="IBM Plex Serif Text" w:eastAsia="Arial" w:hAnsi="IBM Plex Serif Text" w:cs="Arial"/>
                <w:b/>
                <w:color w:val="FFFFFF"/>
                <w:sz w:val="24"/>
              </w:rPr>
              <w:t xml:space="preserve"> </w:t>
            </w:r>
            <w:r w:rsidRPr="003E359B">
              <w:rPr>
                <w:rFonts w:ascii="IBM Plex Serif Text" w:hAnsi="IBM Plex Serif Text"/>
                <w:color w:val="FFFFFF"/>
                <w:sz w:val="24"/>
              </w:rPr>
              <w:t>SAFEGUARD INTEGRITY IN CORPORATE REPORTING</w:t>
            </w:r>
            <w:r w:rsidRPr="003E359B">
              <w:rPr>
                <w:rFonts w:ascii="IBM Plex Serif Text" w:hAnsi="IBM Plex Serif Text"/>
                <w:color w:val="FFFFFF"/>
                <w:sz w:val="20"/>
              </w:rPr>
              <w:t xml:space="preserve"> </w:t>
            </w:r>
          </w:p>
        </w:tc>
      </w:tr>
      <w:tr w:rsidR="00B40FB2" w:rsidRPr="00595F31" w14:paraId="76A4387A" w14:textId="77777777" w:rsidTr="003E359B">
        <w:trPr>
          <w:trHeight w:val="6369"/>
        </w:trPr>
        <w:tc>
          <w:tcPr>
            <w:tcW w:w="4705" w:type="dxa"/>
          </w:tcPr>
          <w:p w14:paraId="7360DB9D" w14:textId="77777777" w:rsidR="00B40FB2" w:rsidRPr="003E359B" w:rsidRDefault="004123C2">
            <w:pPr>
              <w:spacing w:after="117"/>
              <w:ind w:left="0" w:firstLine="0"/>
              <w:rPr>
                <w:rFonts w:ascii="IBM Plex Sans Light" w:hAnsi="IBM Plex Sans Light"/>
                <w:b/>
                <w:bCs/>
              </w:rPr>
            </w:pPr>
            <w:r w:rsidRPr="003E359B">
              <w:rPr>
                <w:rFonts w:ascii="IBM Plex Sans Light" w:hAnsi="IBM Plex Sans Light"/>
                <w:sz w:val="20"/>
              </w:rPr>
              <w:t>4</w:t>
            </w:r>
            <w:r w:rsidRPr="003E359B">
              <w:rPr>
                <w:rFonts w:ascii="IBM Plex Sans Light" w:hAnsi="IBM Plex Sans Light"/>
                <w:b/>
                <w:bCs/>
                <w:sz w:val="20"/>
              </w:rPr>
              <w:t xml:space="preserve">.1 The board of a listed entity should: </w:t>
            </w:r>
          </w:p>
          <w:p w14:paraId="65D6108A" w14:textId="77777777" w:rsidR="00B40FB2" w:rsidRPr="003E359B" w:rsidRDefault="004123C2">
            <w:pPr>
              <w:spacing w:after="97"/>
              <w:ind w:left="0" w:firstLine="0"/>
              <w:rPr>
                <w:rFonts w:ascii="IBM Plex Sans Light" w:hAnsi="IBM Plex Sans Light"/>
                <w:b/>
                <w:bCs/>
              </w:rPr>
            </w:pPr>
            <w:r w:rsidRPr="003E359B">
              <w:rPr>
                <w:rFonts w:ascii="IBM Plex Sans Light" w:hAnsi="IBM Plex Sans Light"/>
                <w:b/>
                <w:bCs/>
                <w:sz w:val="20"/>
              </w:rPr>
              <w:t>a)</w:t>
            </w:r>
            <w:r w:rsidRPr="003E359B">
              <w:rPr>
                <w:rFonts w:ascii="IBM Plex Sans Light" w:eastAsia="Arial" w:hAnsi="IBM Plex Sans Light" w:cs="Arial"/>
                <w:b/>
                <w:bCs/>
                <w:sz w:val="20"/>
              </w:rPr>
              <w:t xml:space="preserve"> </w:t>
            </w:r>
            <w:r w:rsidRPr="003E359B">
              <w:rPr>
                <w:rFonts w:ascii="IBM Plex Sans Light" w:hAnsi="IBM Plex Sans Light"/>
                <w:b/>
                <w:bCs/>
                <w:sz w:val="20"/>
              </w:rPr>
              <w:t xml:space="preserve">have an audit committee which: </w:t>
            </w:r>
          </w:p>
          <w:p w14:paraId="60457DBC" w14:textId="77777777" w:rsidR="00B40FB2" w:rsidRPr="003E359B" w:rsidRDefault="004123C2">
            <w:pPr>
              <w:numPr>
                <w:ilvl w:val="0"/>
                <w:numId w:val="14"/>
              </w:numPr>
              <w:spacing w:after="121" w:line="237" w:lineRule="auto"/>
              <w:ind w:right="19" w:firstLine="0"/>
              <w:rPr>
                <w:rFonts w:ascii="IBM Plex Sans Light" w:hAnsi="IBM Plex Sans Light"/>
                <w:b/>
                <w:bCs/>
              </w:rPr>
            </w:pPr>
            <w:r w:rsidRPr="003E359B">
              <w:rPr>
                <w:rFonts w:ascii="IBM Plex Sans Light" w:hAnsi="IBM Plex Sans Light"/>
                <w:b/>
                <w:bCs/>
                <w:sz w:val="20"/>
              </w:rPr>
              <w:t xml:space="preserve">has at least three members, all of whom are non-executive directors and a majority of whom are independent directors; and </w:t>
            </w:r>
          </w:p>
          <w:p w14:paraId="64F57BF2" w14:textId="77777777" w:rsidR="00B40FB2" w:rsidRPr="003E359B" w:rsidRDefault="004123C2">
            <w:pPr>
              <w:numPr>
                <w:ilvl w:val="0"/>
                <w:numId w:val="14"/>
              </w:numPr>
              <w:spacing w:after="120" w:line="237" w:lineRule="auto"/>
              <w:ind w:right="19" w:firstLine="0"/>
              <w:rPr>
                <w:rFonts w:ascii="IBM Plex Sans Light" w:hAnsi="IBM Plex Sans Light"/>
                <w:b/>
                <w:bCs/>
              </w:rPr>
            </w:pPr>
            <w:r w:rsidRPr="003E359B">
              <w:rPr>
                <w:rFonts w:ascii="IBM Plex Sans Light" w:hAnsi="IBM Plex Sans Light"/>
                <w:b/>
                <w:bCs/>
                <w:sz w:val="20"/>
              </w:rPr>
              <w:t xml:space="preserve">is chaired by an independent director, who is not the chair of the board, and disclose: </w:t>
            </w:r>
          </w:p>
          <w:p w14:paraId="38A0ED46" w14:textId="77777777" w:rsidR="00B40FB2" w:rsidRPr="003E359B" w:rsidRDefault="004123C2">
            <w:pPr>
              <w:numPr>
                <w:ilvl w:val="0"/>
                <w:numId w:val="14"/>
              </w:numPr>
              <w:spacing w:after="97"/>
              <w:ind w:right="19" w:firstLine="0"/>
              <w:rPr>
                <w:rFonts w:ascii="IBM Plex Sans Light" w:hAnsi="IBM Plex Sans Light"/>
                <w:b/>
                <w:bCs/>
              </w:rPr>
            </w:pPr>
            <w:r w:rsidRPr="003E359B">
              <w:rPr>
                <w:rFonts w:ascii="IBM Plex Sans Light" w:hAnsi="IBM Plex Sans Light"/>
                <w:b/>
                <w:bCs/>
                <w:sz w:val="20"/>
              </w:rPr>
              <w:t xml:space="preserve">the charter of the committee; </w:t>
            </w:r>
          </w:p>
          <w:p w14:paraId="10BB61A9" w14:textId="77777777" w:rsidR="00B40FB2" w:rsidRPr="003E359B" w:rsidRDefault="004123C2">
            <w:pPr>
              <w:numPr>
                <w:ilvl w:val="0"/>
                <w:numId w:val="14"/>
              </w:numPr>
              <w:spacing w:after="120" w:line="237" w:lineRule="auto"/>
              <w:ind w:right="19" w:firstLine="0"/>
              <w:rPr>
                <w:rFonts w:ascii="IBM Plex Sans Light" w:hAnsi="IBM Plex Sans Light"/>
                <w:b/>
                <w:bCs/>
              </w:rPr>
            </w:pPr>
            <w:r w:rsidRPr="003E359B">
              <w:rPr>
                <w:rFonts w:ascii="IBM Plex Sans Light" w:hAnsi="IBM Plex Sans Light"/>
                <w:b/>
                <w:bCs/>
                <w:sz w:val="20"/>
              </w:rPr>
              <w:t xml:space="preserve">the relevant qualifications and experience of the members of the committee; and </w:t>
            </w:r>
          </w:p>
          <w:p w14:paraId="7F9E51F4" w14:textId="77777777" w:rsidR="00B40FB2" w:rsidRPr="003E359B" w:rsidRDefault="004123C2">
            <w:pPr>
              <w:numPr>
                <w:ilvl w:val="0"/>
                <w:numId w:val="14"/>
              </w:numPr>
              <w:spacing w:after="120" w:line="237" w:lineRule="auto"/>
              <w:ind w:right="19" w:firstLine="0"/>
              <w:rPr>
                <w:rFonts w:ascii="IBM Plex Sans Light" w:hAnsi="IBM Plex Sans Light"/>
                <w:b/>
                <w:bCs/>
              </w:rPr>
            </w:pPr>
            <w:r w:rsidRPr="003E359B">
              <w:rPr>
                <w:rFonts w:ascii="IBM Plex Sans Light" w:hAnsi="IBM Plex Sans Light"/>
                <w:b/>
                <w:bCs/>
                <w:sz w:val="20"/>
              </w:rPr>
              <w:t xml:space="preserve">in relation to each reporting period, the number of times the committee met throughout the period and the individual attendances of the members at those meetings; or </w:t>
            </w:r>
          </w:p>
          <w:p w14:paraId="77BAFB5E" w14:textId="77777777" w:rsidR="00B40FB2" w:rsidRPr="003E359B" w:rsidRDefault="004123C2">
            <w:pPr>
              <w:numPr>
                <w:ilvl w:val="0"/>
                <w:numId w:val="14"/>
              </w:numPr>
              <w:spacing w:after="0"/>
              <w:ind w:right="19" w:firstLine="0"/>
              <w:rPr>
                <w:rFonts w:ascii="IBM Plex Sans Light" w:hAnsi="IBM Plex Sans Light"/>
              </w:rPr>
            </w:pPr>
            <w:r w:rsidRPr="003E359B">
              <w:rPr>
                <w:rFonts w:ascii="IBM Plex Sans Light" w:hAnsi="IBM Plex Sans Light"/>
                <w:b/>
                <w:bCs/>
                <w:sz w:val="20"/>
              </w:rPr>
              <w:t>if it does not have an audit committee, disclose that fact and the processes it employs that independently verify and safeguard the integrity of its corporate reporting, including the processes for the appointment and removal of the external auditor and the rotation of the audit engagement partner.</w:t>
            </w:r>
            <w:r w:rsidRPr="003E359B">
              <w:rPr>
                <w:rFonts w:ascii="IBM Plex Sans Light" w:hAnsi="IBM Plex Sans Light"/>
                <w:sz w:val="20"/>
              </w:rPr>
              <w:t xml:space="preserve"> </w:t>
            </w:r>
          </w:p>
        </w:tc>
        <w:tc>
          <w:tcPr>
            <w:tcW w:w="9329" w:type="dxa"/>
          </w:tcPr>
          <w:p w14:paraId="5B4A3D8F" w14:textId="77777777" w:rsidR="00B40FB2" w:rsidRPr="003E359B" w:rsidRDefault="004123C2">
            <w:pPr>
              <w:spacing w:after="120" w:line="237" w:lineRule="auto"/>
              <w:ind w:left="2" w:firstLine="0"/>
              <w:rPr>
                <w:rFonts w:ascii="IBM Plex Sans Light" w:hAnsi="IBM Plex Sans Light"/>
              </w:rPr>
            </w:pPr>
            <w:r w:rsidRPr="003E359B">
              <w:rPr>
                <w:rFonts w:ascii="IBM Plex Sans Light" w:hAnsi="IBM Plex Sans Light"/>
                <w:sz w:val="20"/>
              </w:rPr>
              <w:t xml:space="preserve">The Board has established an Audit &amp; Risk Committee has a documented Charter, approved by the Board with </w:t>
            </w:r>
            <w:proofErr w:type="gramStart"/>
            <w:r w:rsidRPr="003E359B">
              <w:rPr>
                <w:rFonts w:ascii="IBM Plex Sans Light" w:hAnsi="IBM Plex Sans Light"/>
                <w:sz w:val="20"/>
              </w:rPr>
              <w:t>a majority of</w:t>
            </w:r>
            <w:proofErr w:type="gramEnd"/>
            <w:r w:rsidRPr="003E359B">
              <w:rPr>
                <w:rFonts w:ascii="IBM Plex Sans Light" w:hAnsi="IBM Plex Sans Light"/>
                <w:sz w:val="20"/>
              </w:rPr>
              <w:t xml:space="preserve"> members who are independent. The </w:t>
            </w:r>
            <w:hyperlink r:id="rId27">
              <w:r w:rsidRPr="003E359B">
                <w:rPr>
                  <w:rFonts w:ascii="IBM Plex Sans Light" w:hAnsi="IBM Plex Sans Light"/>
                  <w:color w:val="0000FF"/>
                  <w:sz w:val="20"/>
                  <w:u w:val="single" w:color="0000FF"/>
                </w:rPr>
                <w:t xml:space="preserve">Audit &amp; </w:t>
              </w:r>
            </w:hyperlink>
            <w:hyperlink r:id="rId28">
              <w:r w:rsidRPr="003E359B">
                <w:rPr>
                  <w:rFonts w:ascii="IBM Plex Sans Light" w:hAnsi="IBM Plex Sans Light"/>
                  <w:color w:val="0000FF"/>
                  <w:sz w:val="20"/>
                  <w:u w:val="single" w:color="0000FF"/>
                </w:rPr>
                <w:t>Risk Committee’s Charter</w:t>
              </w:r>
            </w:hyperlink>
            <w:hyperlink r:id="rId29">
              <w:r w:rsidRPr="003E359B">
                <w:rPr>
                  <w:rFonts w:ascii="IBM Plex Sans Light" w:hAnsi="IBM Plex Sans Light"/>
                  <w:sz w:val="20"/>
                </w:rPr>
                <w:t xml:space="preserve"> </w:t>
              </w:r>
            </w:hyperlink>
            <w:r w:rsidRPr="003E359B">
              <w:rPr>
                <w:rFonts w:ascii="IBM Plex Sans Light" w:hAnsi="IBM Plex Sans Light"/>
                <w:sz w:val="20"/>
              </w:rPr>
              <w:t xml:space="preserve">is available on the Company’s website. </w:t>
            </w:r>
          </w:p>
          <w:p w14:paraId="4A286CE4" w14:textId="77777777" w:rsidR="00B40FB2" w:rsidRPr="003E359B" w:rsidRDefault="004123C2">
            <w:pPr>
              <w:spacing w:after="120" w:line="237" w:lineRule="auto"/>
              <w:ind w:left="2" w:right="177" w:firstLine="0"/>
              <w:jc w:val="both"/>
              <w:rPr>
                <w:rFonts w:ascii="IBM Plex Sans Light" w:hAnsi="IBM Plex Sans Light"/>
              </w:rPr>
            </w:pPr>
            <w:r w:rsidRPr="003E359B">
              <w:rPr>
                <w:rFonts w:ascii="IBM Plex Sans Light" w:hAnsi="IBM Plex Sans Light"/>
                <w:sz w:val="20"/>
              </w:rPr>
              <w:t xml:space="preserve">The Chair of the Audit &amp; Risk Committee should not be the Chair of the Board. The current members of the Audit &amp; Risk Committee, together with their qualifications and experience, are listed within the Company’s </w:t>
            </w:r>
            <w:hyperlink r:id="rId30">
              <w:r w:rsidRPr="003E359B">
                <w:rPr>
                  <w:rFonts w:ascii="IBM Plex Sans Light" w:hAnsi="IBM Plex Sans Light"/>
                  <w:color w:val="0000FF"/>
                  <w:sz w:val="20"/>
                  <w:u w:val="single" w:color="0000FF"/>
                </w:rPr>
                <w:t>Annual Report</w:t>
              </w:r>
            </w:hyperlink>
            <w:hyperlink r:id="rId31">
              <w:r w:rsidRPr="003E359B">
                <w:rPr>
                  <w:rFonts w:ascii="IBM Plex Sans Light" w:hAnsi="IBM Plex Sans Light"/>
                  <w:sz w:val="20"/>
                </w:rPr>
                <w:t>.</w:t>
              </w:r>
            </w:hyperlink>
            <w:r w:rsidRPr="003E359B">
              <w:rPr>
                <w:rFonts w:ascii="IBM Plex Sans Light" w:hAnsi="IBM Plex Sans Light"/>
                <w:sz w:val="20"/>
              </w:rPr>
              <w:t xml:space="preserve"> </w:t>
            </w:r>
          </w:p>
          <w:p w14:paraId="0BE64DC8" w14:textId="77777777" w:rsidR="00B40FB2" w:rsidRPr="003E359B" w:rsidRDefault="004123C2">
            <w:pPr>
              <w:spacing w:after="120"/>
              <w:ind w:left="2" w:firstLine="0"/>
              <w:rPr>
                <w:rFonts w:ascii="IBM Plex Sans Light" w:hAnsi="IBM Plex Sans Light"/>
              </w:rPr>
            </w:pPr>
            <w:r w:rsidRPr="003E359B">
              <w:rPr>
                <w:rFonts w:ascii="IBM Plex Sans Light" w:hAnsi="IBM Plex Sans Light"/>
                <w:sz w:val="20"/>
              </w:rPr>
              <w:t xml:space="preserve">The committee currently comprises: </w:t>
            </w:r>
          </w:p>
          <w:p w14:paraId="1D42BB2A" w14:textId="77777777" w:rsidR="00B40FB2" w:rsidRPr="003E359B" w:rsidRDefault="004123C2">
            <w:pPr>
              <w:numPr>
                <w:ilvl w:val="0"/>
                <w:numId w:val="15"/>
              </w:numPr>
              <w:spacing w:after="0"/>
              <w:ind w:hanging="360"/>
              <w:rPr>
                <w:rFonts w:ascii="IBM Plex Sans Light" w:hAnsi="IBM Plex Sans Light"/>
              </w:rPr>
            </w:pPr>
            <w:r w:rsidRPr="003E359B">
              <w:rPr>
                <w:rFonts w:ascii="IBM Plex Sans Light" w:hAnsi="IBM Plex Sans Light"/>
                <w:sz w:val="20"/>
              </w:rPr>
              <w:t xml:space="preserve">two non-executive independent directors (one of which is the Chair); and </w:t>
            </w:r>
          </w:p>
          <w:p w14:paraId="2412F501" w14:textId="77777777" w:rsidR="00B40FB2" w:rsidRPr="003E359B" w:rsidRDefault="004123C2">
            <w:pPr>
              <w:numPr>
                <w:ilvl w:val="0"/>
                <w:numId w:val="15"/>
              </w:numPr>
              <w:spacing w:after="80"/>
              <w:ind w:hanging="360"/>
              <w:rPr>
                <w:rFonts w:ascii="IBM Plex Sans Light" w:hAnsi="IBM Plex Sans Light"/>
              </w:rPr>
            </w:pPr>
            <w:r w:rsidRPr="003E359B">
              <w:rPr>
                <w:rFonts w:ascii="IBM Plex Sans Light" w:hAnsi="IBM Plex Sans Light"/>
                <w:sz w:val="20"/>
              </w:rPr>
              <w:t xml:space="preserve">one non-executive non-independent director. </w:t>
            </w:r>
          </w:p>
          <w:p w14:paraId="064DEA6E" w14:textId="77777777" w:rsidR="00B40FB2" w:rsidRPr="003E359B" w:rsidRDefault="004123C2">
            <w:pPr>
              <w:spacing w:after="120" w:line="237" w:lineRule="auto"/>
              <w:ind w:left="2" w:firstLine="0"/>
              <w:rPr>
                <w:rFonts w:ascii="IBM Plex Sans Light" w:hAnsi="IBM Plex Sans Light"/>
              </w:rPr>
            </w:pPr>
            <w:r w:rsidRPr="003E359B">
              <w:rPr>
                <w:rFonts w:ascii="IBM Plex Sans Light" w:hAnsi="IBM Plex Sans Light"/>
                <w:sz w:val="20"/>
              </w:rPr>
              <w:t xml:space="preserve">The external auditors, the Chief Executive Officer and Chief Financial Officer are invited to Audit &amp; Risk Committee meetings at the discretion of the Committee.  </w:t>
            </w:r>
          </w:p>
          <w:p w14:paraId="762720E0" w14:textId="77777777" w:rsidR="00B40FB2" w:rsidRPr="003E359B" w:rsidRDefault="004123C2">
            <w:pPr>
              <w:spacing w:after="120" w:line="237" w:lineRule="auto"/>
              <w:ind w:left="2" w:firstLine="0"/>
              <w:rPr>
                <w:rFonts w:ascii="IBM Plex Sans Light" w:hAnsi="IBM Plex Sans Light"/>
              </w:rPr>
            </w:pPr>
            <w:r w:rsidRPr="003E359B">
              <w:rPr>
                <w:rFonts w:ascii="IBM Plex Sans Light" w:hAnsi="IBM Plex Sans Light"/>
                <w:sz w:val="20"/>
              </w:rPr>
              <w:t xml:space="preserve">The Committee meet at least two times during the year and attendance is recorded in the Director’s report.  </w:t>
            </w:r>
          </w:p>
          <w:p w14:paraId="562523F0" w14:textId="77777777" w:rsidR="00B40FB2" w:rsidRPr="003E359B" w:rsidRDefault="004123C2">
            <w:pPr>
              <w:spacing w:after="120" w:line="237" w:lineRule="auto"/>
              <w:ind w:left="2" w:firstLine="0"/>
              <w:rPr>
                <w:rFonts w:ascii="IBM Plex Sans Light" w:hAnsi="IBM Plex Sans Light"/>
              </w:rPr>
            </w:pPr>
            <w:r w:rsidRPr="003E359B">
              <w:rPr>
                <w:rFonts w:ascii="IBM Plex Sans Light" w:hAnsi="IBM Plex Sans Light"/>
                <w:sz w:val="20"/>
              </w:rPr>
              <w:t xml:space="preserve">The responsibilities of the Audit &amp; Risk Committee include reporting to the Board on risk processes, financial reporting and accounting standards.  </w:t>
            </w:r>
          </w:p>
          <w:p w14:paraId="69E0A40C" w14:textId="77777777" w:rsidR="00B40FB2" w:rsidRPr="003E359B" w:rsidRDefault="004123C2">
            <w:pPr>
              <w:spacing w:after="120" w:line="237" w:lineRule="auto"/>
              <w:ind w:left="2" w:firstLine="0"/>
              <w:rPr>
                <w:rFonts w:ascii="IBM Plex Sans Light" w:hAnsi="IBM Plex Sans Light"/>
              </w:rPr>
            </w:pPr>
            <w:r w:rsidRPr="003E359B">
              <w:rPr>
                <w:rFonts w:ascii="IBM Plex Sans Light" w:hAnsi="IBM Plex Sans Light"/>
                <w:sz w:val="20"/>
              </w:rPr>
              <w:t xml:space="preserve">The Audit &amp; Risk Committee reviews the performance of the external auditors on an annual basis and normally meets with them during the year.  </w:t>
            </w:r>
          </w:p>
          <w:p w14:paraId="6A0255D8" w14:textId="77777777" w:rsidR="00B40FB2" w:rsidRPr="003E359B" w:rsidRDefault="004123C2">
            <w:pPr>
              <w:spacing w:after="0"/>
              <w:ind w:left="2" w:firstLine="0"/>
              <w:rPr>
                <w:rFonts w:ascii="IBM Plex Sans Light" w:hAnsi="IBM Plex Sans Light"/>
              </w:rPr>
            </w:pPr>
            <w:r w:rsidRPr="003E359B">
              <w:rPr>
                <w:rFonts w:ascii="IBM Plex Sans Light" w:hAnsi="IBM Plex Sans Light"/>
                <w:sz w:val="20"/>
              </w:rPr>
              <w:t xml:space="preserve">Information on procedures for the selection and appointment of the external auditor and for the rotation of external audit engagement partners is outlined within the </w:t>
            </w:r>
            <w:hyperlink r:id="rId32">
              <w:r w:rsidRPr="003E359B">
                <w:rPr>
                  <w:rFonts w:ascii="IBM Plex Sans Light" w:hAnsi="IBM Plex Sans Light"/>
                  <w:color w:val="0000FF"/>
                  <w:sz w:val="20"/>
                  <w:u w:val="single" w:color="0000FF"/>
                </w:rPr>
                <w:t>Audit &amp; Risk Committee Charter</w:t>
              </w:r>
            </w:hyperlink>
            <w:hyperlink r:id="rId33">
              <w:r w:rsidRPr="003E359B">
                <w:rPr>
                  <w:rFonts w:ascii="IBM Plex Sans Light" w:hAnsi="IBM Plex Sans Light"/>
                  <w:sz w:val="20"/>
                </w:rPr>
                <w:t>.</w:t>
              </w:r>
            </w:hyperlink>
            <w:r w:rsidRPr="003E359B">
              <w:rPr>
                <w:rFonts w:ascii="IBM Plex Sans Light" w:hAnsi="IBM Plex Sans Light"/>
                <w:sz w:val="20"/>
              </w:rPr>
              <w:t xml:space="preserve">  </w:t>
            </w:r>
          </w:p>
        </w:tc>
      </w:tr>
      <w:tr w:rsidR="00B40FB2" w:rsidRPr="00595F31" w14:paraId="11FB27B7" w14:textId="77777777" w:rsidTr="003E359B">
        <w:trPr>
          <w:trHeight w:val="4474"/>
        </w:trPr>
        <w:tc>
          <w:tcPr>
            <w:tcW w:w="4705" w:type="dxa"/>
          </w:tcPr>
          <w:p w14:paraId="15178793" w14:textId="77777777" w:rsidR="00B40FB2" w:rsidRPr="00A256D5" w:rsidRDefault="004123C2">
            <w:pPr>
              <w:spacing w:after="120" w:line="237" w:lineRule="auto"/>
              <w:ind w:left="360" w:hanging="360"/>
              <w:rPr>
                <w:rFonts w:ascii="IBM Plex Sans" w:hAnsi="IBM Plex Sans"/>
                <w:bCs/>
              </w:rPr>
            </w:pPr>
            <w:r w:rsidRPr="00A256D5">
              <w:rPr>
                <w:rFonts w:ascii="IBM Plex Sans" w:hAnsi="IBM Plex Sans"/>
                <w:bCs/>
                <w:sz w:val="20"/>
              </w:rPr>
              <w:lastRenderedPageBreak/>
              <w:t xml:space="preserve">4.2 The board of a listed entity should, before it approves the entity's financial statements for a financial period, receive from its CEO and CFO a declaration that, in their opinion, the financial records of the entity have been properly maintained and that the financial statements comply with the appropriate accounting standards and give a true and fair view of the financial position and performance of the entity and that the opinion has been formed on the basis of a sound system of risk management and internal control which is operating effectively. </w:t>
            </w:r>
          </w:p>
          <w:p w14:paraId="42B8D191" w14:textId="77777777" w:rsidR="00B40FB2" w:rsidRPr="00A256D5" w:rsidRDefault="004123C2">
            <w:pPr>
              <w:spacing w:after="0"/>
              <w:ind w:left="360" w:firstLine="0"/>
              <w:rPr>
                <w:rFonts w:ascii="IBM Plex Sans" w:hAnsi="IBM Plex Sans"/>
                <w:bCs/>
              </w:rPr>
            </w:pPr>
            <w:r w:rsidRPr="00A256D5">
              <w:rPr>
                <w:rFonts w:ascii="IBM Plex Sans" w:hAnsi="IBM Plex Sans"/>
                <w:bCs/>
                <w:sz w:val="20"/>
              </w:rPr>
              <w:t xml:space="preserve"> </w:t>
            </w:r>
          </w:p>
        </w:tc>
        <w:tc>
          <w:tcPr>
            <w:tcW w:w="9329" w:type="dxa"/>
          </w:tcPr>
          <w:p w14:paraId="474C863C" w14:textId="77777777" w:rsidR="00B40FB2" w:rsidRPr="00A256D5" w:rsidRDefault="004123C2">
            <w:pPr>
              <w:spacing w:after="119" w:line="238" w:lineRule="auto"/>
              <w:ind w:left="2" w:firstLine="0"/>
              <w:rPr>
                <w:rFonts w:ascii="IBM Plex Sans" w:hAnsi="IBM Plex Sans"/>
              </w:rPr>
            </w:pPr>
            <w:r w:rsidRPr="00A256D5">
              <w:rPr>
                <w:rFonts w:ascii="IBM Plex Sans" w:hAnsi="IBM Plex Sans"/>
                <w:sz w:val="20"/>
              </w:rPr>
              <w:t>In accordance with</w:t>
            </w:r>
            <w:r w:rsidRPr="00A256D5">
              <w:rPr>
                <w:rFonts w:ascii="IBM Plex Sans" w:hAnsi="IBM Plex Sans"/>
              </w:rPr>
              <w:t xml:space="preserve"> section</w:t>
            </w:r>
            <w:r w:rsidRPr="00A256D5">
              <w:rPr>
                <w:rFonts w:ascii="IBM Plex Sans" w:hAnsi="IBM Plex Sans"/>
                <w:sz w:val="23"/>
              </w:rPr>
              <w:t xml:space="preserve"> </w:t>
            </w:r>
            <w:r w:rsidRPr="00A256D5">
              <w:rPr>
                <w:rFonts w:ascii="IBM Plex Sans" w:hAnsi="IBM Plex Sans"/>
              </w:rPr>
              <w:t>295A of</w:t>
            </w:r>
            <w:r w:rsidRPr="00A256D5">
              <w:rPr>
                <w:rFonts w:ascii="IBM Plex Sans" w:hAnsi="IBM Plex Sans"/>
                <w:sz w:val="20"/>
              </w:rPr>
              <w:t xml:space="preserve"> the </w:t>
            </w:r>
            <w:r w:rsidRPr="00A256D5">
              <w:rPr>
                <w:rFonts w:ascii="IBM Plex Sans" w:hAnsi="IBM Plex Sans"/>
              </w:rPr>
              <w:t xml:space="preserve">Corporations Act 2001, </w:t>
            </w:r>
            <w:r w:rsidRPr="00A256D5">
              <w:rPr>
                <w:rFonts w:ascii="IBM Plex Sans" w:hAnsi="IBM Plex Sans"/>
                <w:sz w:val="20"/>
              </w:rPr>
              <w:t xml:space="preserve">the Board requires that the CEO and CFO provide a written declaration that, in their opinion, the financial records of the entity have been properly maintained and that the financial statements comply with the appropriate accounting standards and give a true and fair view of the financial position and performance of the entity and that the opinion has been formed on the basis of a sound system of risk management and internal control which is operating effectively. </w:t>
            </w:r>
          </w:p>
          <w:p w14:paraId="5DC68E7A"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Board has also appointed an Auditor to provide assurance to the Board that in their opinion, the financial records of the entity have been properly maintained and that the financial statements comply with the appropriate accounting standards and give a true and fair view of the financial position and performance of the entity and that the opinion has been formed on the basis of a sound system of risk management and internal control which is operating effectively.  </w:t>
            </w:r>
          </w:p>
          <w:p w14:paraId="2554C0A1" w14:textId="32936696"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William Buck have been appointed as the Auditors to the Company. The </w:t>
            </w:r>
            <w:hyperlink r:id="rId34">
              <w:r w:rsidRPr="00A256D5">
                <w:rPr>
                  <w:rFonts w:ascii="IBM Plex Sans" w:hAnsi="IBM Plex Sans"/>
                  <w:color w:val="0000FF"/>
                  <w:sz w:val="20"/>
                  <w:u w:val="single" w:color="0000FF"/>
                </w:rPr>
                <w:t>External Auditor Appointment</w:t>
              </w:r>
            </w:hyperlink>
            <w:hyperlink r:id="rId35">
              <w:r w:rsidRPr="00A256D5">
                <w:rPr>
                  <w:rFonts w:ascii="IBM Plex Sans" w:hAnsi="IBM Plex Sans"/>
                  <w:color w:val="0000FF"/>
                  <w:sz w:val="20"/>
                </w:rPr>
                <w:t xml:space="preserve"> </w:t>
              </w:r>
            </w:hyperlink>
            <w:hyperlink r:id="rId36">
              <w:r w:rsidRPr="00A256D5">
                <w:rPr>
                  <w:rFonts w:ascii="IBM Plex Sans" w:hAnsi="IBM Plex Sans"/>
                  <w:color w:val="0000FF"/>
                  <w:sz w:val="20"/>
                  <w:u w:val="single" w:color="0000FF"/>
                </w:rPr>
                <w:t>Procedure</w:t>
              </w:r>
            </w:hyperlink>
            <w:hyperlink r:id="rId37">
              <w:r w:rsidRPr="00A256D5">
                <w:rPr>
                  <w:rFonts w:ascii="IBM Plex Sans" w:hAnsi="IBM Plex Sans"/>
                  <w:sz w:val="20"/>
                </w:rPr>
                <w:t xml:space="preserve"> </w:t>
              </w:r>
            </w:hyperlink>
            <w:r w:rsidRPr="00A256D5">
              <w:rPr>
                <w:rFonts w:ascii="IBM Plex Sans" w:hAnsi="IBM Plex Sans"/>
                <w:sz w:val="20"/>
              </w:rPr>
              <w:t xml:space="preserve">is available on the </w:t>
            </w:r>
            <w:r w:rsidR="0047338A" w:rsidRPr="00A256D5">
              <w:rPr>
                <w:rFonts w:ascii="IBM Plex Sans" w:hAnsi="IBM Plex Sans"/>
                <w:sz w:val="20"/>
              </w:rPr>
              <w:t>Acumentis</w:t>
            </w:r>
            <w:r w:rsidRPr="00A256D5">
              <w:rPr>
                <w:rFonts w:ascii="IBM Plex Sans" w:hAnsi="IBM Plex Sans"/>
                <w:sz w:val="20"/>
              </w:rPr>
              <w:t xml:space="preserve"> website. </w:t>
            </w:r>
          </w:p>
          <w:p w14:paraId="3F6E9FF4" w14:textId="77777777" w:rsidR="00B40FB2" w:rsidRPr="00A256D5" w:rsidRDefault="004123C2">
            <w:pPr>
              <w:spacing w:after="0"/>
              <w:ind w:left="2" w:firstLine="0"/>
              <w:rPr>
                <w:rFonts w:ascii="IBM Plex Sans" w:hAnsi="IBM Plex Sans"/>
              </w:rPr>
            </w:pPr>
            <w:r w:rsidRPr="00A256D5">
              <w:rPr>
                <w:rFonts w:ascii="IBM Plex Sans" w:hAnsi="IBM Plex Sans"/>
                <w:sz w:val="20"/>
              </w:rPr>
              <w:t xml:space="preserve">An analysis of fees paid to the Auditor, including a breakdown of fees for non-audit services, is provided in the Directors' Report. The Auditor provides an annual declaration of its independence to the Audit &amp; Risk Committee. </w:t>
            </w:r>
          </w:p>
        </w:tc>
      </w:tr>
      <w:tr w:rsidR="00B40FB2" w:rsidRPr="00595F31" w14:paraId="543025B4" w14:textId="77777777" w:rsidTr="003E359B">
        <w:trPr>
          <w:trHeight w:val="1329"/>
        </w:trPr>
        <w:tc>
          <w:tcPr>
            <w:tcW w:w="4705" w:type="dxa"/>
          </w:tcPr>
          <w:p w14:paraId="6B2F4350" w14:textId="77777777" w:rsidR="00B40FB2" w:rsidRPr="00A256D5" w:rsidRDefault="004123C2">
            <w:pPr>
              <w:spacing w:after="0"/>
              <w:ind w:left="360" w:hanging="360"/>
              <w:rPr>
                <w:rFonts w:ascii="IBM Plex Sans" w:hAnsi="IBM Plex Sans"/>
                <w:bCs/>
              </w:rPr>
            </w:pPr>
            <w:r w:rsidRPr="00A256D5">
              <w:rPr>
                <w:rFonts w:ascii="IBM Plex Sans" w:hAnsi="IBM Plex Sans"/>
                <w:bCs/>
                <w:sz w:val="20"/>
              </w:rPr>
              <w:t xml:space="preserve">4.3 A listed entity that has an AGM should ensure that its external auditor attends its AGM and is available to answer questions from security holders relevant to the audit. </w:t>
            </w:r>
          </w:p>
        </w:tc>
        <w:tc>
          <w:tcPr>
            <w:tcW w:w="9329" w:type="dxa"/>
          </w:tcPr>
          <w:p w14:paraId="0F3637DF"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Auditor is required to attend the Company's Annual General Meeting and be available to answer shareholder questions about the conduct of the audit and the preparation and content of the Auditor's Report.  </w:t>
            </w:r>
          </w:p>
          <w:p w14:paraId="2E0A1764" w14:textId="77777777" w:rsidR="00B40FB2" w:rsidRPr="00A256D5" w:rsidRDefault="004123C2">
            <w:pPr>
              <w:spacing w:after="0"/>
              <w:ind w:left="2" w:firstLine="0"/>
              <w:rPr>
                <w:rFonts w:ascii="IBM Plex Sans" w:hAnsi="IBM Plex Sans"/>
              </w:rPr>
            </w:pPr>
            <w:r w:rsidRPr="00A256D5">
              <w:rPr>
                <w:rFonts w:ascii="IBM Plex Sans" w:hAnsi="IBM Plex Sans"/>
                <w:sz w:val="20"/>
              </w:rPr>
              <w:t xml:space="preserve"> </w:t>
            </w:r>
          </w:p>
        </w:tc>
      </w:tr>
    </w:tbl>
    <w:p w14:paraId="56234414" w14:textId="77777777" w:rsidR="00B40FB2" w:rsidRPr="00595F31" w:rsidRDefault="004123C2">
      <w:pPr>
        <w:spacing w:after="100"/>
        <w:ind w:left="0" w:firstLine="0"/>
        <w:rPr>
          <w:rFonts w:ascii="Lato" w:hAnsi="Lato"/>
        </w:rPr>
      </w:pPr>
      <w:r w:rsidRPr="00595F31">
        <w:rPr>
          <w:rFonts w:ascii="Lato" w:hAnsi="Lato"/>
          <w:sz w:val="20"/>
        </w:rPr>
        <w:t xml:space="preserve"> </w:t>
      </w:r>
    </w:p>
    <w:p w14:paraId="21F79D5E" w14:textId="77777777" w:rsidR="00595F31" w:rsidRDefault="004123C2">
      <w:pPr>
        <w:spacing w:after="0"/>
        <w:ind w:left="0" w:firstLine="0"/>
        <w:jc w:val="both"/>
        <w:rPr>
          <w:rFonts w:ascii="Lato" w:hAnsi="Lato"/>
          <w:sz w:val="20"/>
        </w:rPr>
      </w:pPr>
      <w:r w:rsidRPr="00595F31">
        <w:rPr>
          <w:rFonts w:ascii="Lato" w:hAnsi="Lato"/>
          <w:sz w:val="20"/>
        </w:rPr>
        <w:t xml:space="preserve"> </w:t>
      </w:r>
      <w:r w:rsidRPr="00595F31">
        <w:rPr>
          <w:rFonts w:ascii="Lato" w:hAnsi="Lato"/>
          <w:sz w:val="20"/>
        </w:rPr>
        <w:tab/>
        <w:t xml:space="preserve"> </w:t>
      </w:r>
    </w:p>
    <w:p w14:paraId="335CDA6B" w14:textId="77777777" w:rsidR="00595F31" w:rsidRDefault="00595F31">
      <w:pPr>
        <w:spacing w:after="160"/>
        <w:ind w:left="0" w:firstLine="0"/>
        <w:rPr>
          <w:rFonts w:ascii="Lato" w:hAnsi="Lato"/>
          <w:sz w:val="20"/>
        </w:rPr>
      </w:pPr>
      <w:r>
        <w:rPr>
          <w:rFonts w:ascii="Lato" w:hAnsi="Lato"/>
          <w:sz w:val="20"/>
        </w:rPr>
        <w:br w:type="page"/>
      </w:r>
    </w:p>
    <w:p w14:paraId="0C34085A" w14:textId="77777777" w:rsidR="00B40FB2" w:rsidRPr="00595F31" w:rsidRDefault="00B40FB2">
      <w:pPr>
        <w:spacing w:after="0"/>
        <w:ind w:left="0" w:firstLine="0"/>
        <w:jc w:val="both"/>
        <w:rPr>
          <w:rFonts w:ascii="Lato" w:hAnsi="Lato"/>
        </w:rPr>
      </w:pPr>
    </w:p>
    <w:tbl>
      <w:tblPr>
        <w:tblStyle w:val="TableGrid0"/>
        <w:tblW w:w="14034" w:type="dxa"/>
        <w:tblLook w:val="04A0" w:firstRow="1" w:lastRow="0" w:firstColumn="1" w:lastColumn="0" w:noHBand="0" w:noVBand="1"/>
      </w:tblPr>
      <w:tblGrid>
        <w:gridCol w:w="4705"/>
        <w:gridCol w:w="9329"/>
      </w:tblGrid>
      <w:tr w:rsidR="00B40FB2" w:rsidRPr="00595F31" w14:paraId="4C6AEDD0" w14:textId="77777777" w:rsidTr="003E359B">
        <w:trPr>
          <w:trHeight w:val="538"/>
        </w:trPr>
        <w:tc>
          <w:tcPr>
            <w:tcW w:w="14034" w:type="dxa"/>
            <w:gridSpan w:val="2"/>
            <w:shd w:val="clear" w:color="auto" w:fill="15420C"/>
          </w:tcPr>
          <w:p w14:paraId="43311121" w14:textId="77777777" w:rsidR="00B40FB2" w:rsidRPr="003E359B" w:rsidRDefault="004123C2">
            <w:pPr>
              <w:spacing w:after="0"/>
              <w:ind w:left="0" w:firstLine="0"/>
              <w:rPr>
                <w:rFonts w:ascii="IBM Plex Serif Text" w:hAnsi="IBM Plex Serif Text"/>
              </w:rPr>
            </w:pPr>
            <w:r w:rsidRPr="003E359B">
              <w:rPr>
                <w:rFonts w:ascii="IBM Plex Serif Text" w:hAnsi="IBM Plex Serif Text"/>
                <w:color w:val="FFFFFF"/>
                <w:sz w:val="24"/>
              </w:rPr>
              <w:t>5.</w:t>
            </w:r>
            <w:r w:rsidRPr="003E359B">
              <w:rPr>
                <w:rFonts w:ascii="IBM Plex Serif Text" w:eastAsia="Arial" w:hAnsi="IBM Plex Serif Text" w:cs="Arial"/>
                <w:b/>
                <w:color w:val="FFFFFF"/>
                <w:sz w:val="24"/>
              </w:rPr>
              <w:t xml:space="preserve"> </w:t>
            </w:r>
            <w:r w:rsidRPr="003E359B">
              <w:rPr>
                <w:rFonts w:ascii="IBM Plex Serif Text" w:hAnsi="IBM Plex Serif Text"/>
                <w:color w:val="FFFFFF"/>
                <w:sz w:val="24"/>
              </w:rPr>
              <w:t>MAKE TIMELY AND BALANCED DISCLOSURE</w:t>
            </w:r>
            <w:r w:rsidRPr="003E359B">
              <w:rPr>
                <w:rFonts w:ascii="IBM Plex Serif Text" w:hAnsi="IBM Plex Serif Text"/>
                <w:color w:val="FFFFFF"/>
                <w:sz w:val="20"/>
              </w:rPr>
              <w:t xml:space="preserve"> </w:t>
            </w:r>
          </w:p>
        </w:tc>
      </w:tr>
      <w:tr w:rsidR="00B40FB2" w:rsidRPr="00595F31" w14:paraId="736F50D5" w14:textId="77777777" w:rsidTr="003E359B">
        <w:trPr>
          <w:trHeight w:val="5791"/>
        </w:trPr>
        <w:tc>
          <w:tcPr>
            <w:tcW w:w="4705" w:type="dxa"/>
          </w:tcPr>
          <w:p w14:paraId="3D3221B3" w14:textId="77777777" w:rsidR="00B40FB2" w:rsidRPr="00A256D5" w:rsidRDefault="004123C2">
            <w:pPr>
              <w:spacing w:after="117"/>
              <w:ind w:left="0" w:firstLine="0"/>
              <w:rPr>
                <w:rFonts w:ascii="IBM Plex Sans" w:hAnsi="IBM Plex Sans"/>
                <w:bCs/>
              </w:rPr>
            </w:pPr>
            <w:r w:rsidRPr="00A256D5">
              <w:rPr>
                <w:rFonts w:ascii="IBM Plex Sans" w:hAnsi="IBM Plex Sans"/>
                <w:bCs/>
                <w:sz w:val="20"/>
              </w:rPr>
              <w:t xml:space="preserve">5.1 A listed entity should: </w:t>
            </w:r>
          </w:p>
          <w:p w14:paraId="4743A166" w14:textId="77777777" w:rsidR="00B40FB2" w:rsidRPr="00A256D5" w:rsidRDefault="004123C2">
            <w:pPr>
              <w:numPr>
                <w:ilvl w:val="0"/>
                <w:numId w:val="16"/>
              </w:numPr>
              <w:spacing w:after="140" w:line="237" w:lineRule="auto"/>
              <w:ind w:hanging="360"/>
              <w:rPr>
                <w:rFonts w:ascii="IBM Plex Sans" w:hAnsi="IBM Plex Sans"/>
                <w:bCs/>
              </w:rPr>
            </w:pPr>
            <w:r w:rsidRPr="00A256D5">
              <w:rPr>
                <w:rFonts w:ascii="IBM Plex Sans" w:hAnsi="IBM Plex Sans"/>
                <w:bCs/>
                <w:sz w:val="20"/>
              </w:rPr>
              <w:t xml:space="preserve">have a written policy for complying with its continuous disclosure obligations under the Listing Rules; and </w:t>
            </w:r>
          </w:p>
          <w:p w14:paraId="0893A9F0" w14:textId="77777777" w:rsidR="00B40FB2" w:rsidRPr="00A256D5" w:rsidRDefault="004123C2">
            <w:pPr>
              <w:numPr>
                <w:ilvl w:val="0"/>
                <w:numId w:val="16"/>
              </w:numPr>
              <w:spacing w:after="98"/>
              <w:ind w:hanging="360"/>
              <w:rPr>
                <w:rFonts w:ascii="IBM Plex Sans" w:hAnsi="IBM Plex Sans"/>
                <w:bCs/>
              </w:rPr>
            </w:pPr>
            <w:r w:rsidRPr="00A256D5">
              <w:rPr>
                <w:rFonts w:ascii="IBM Plex Sans" w:hAnsi="IBM Plex Sans"/>
                <w:bCs/>
                <w:sz w:val="20"/>
              </w:rPr>
              <w:t xml:space="preserve">disclose that policy or a summary of it. </w:t>
            </w:r>
          </w:p>
          <w:p w14:paraId="23EB1489" w14:textId="77777777" w:rsidR="00B40FB2" w:rsidRPr="00A256D5" w:rsidRDefault="004123C2">
            <w:pPr>
              <w:spacing w:after="0"/>
              <w:ind w:left="0" w:firstLine="0"/>
              <w:rPr>
                <w:rFonts w:ascii="IBM Plex Sans" w:hAnsi="IBM Plex Sans"/>
              </w:rPr>
            </w:pPr>
            <w:r w:rsidRPr="00A256D5">
              <w:rPr>
                <w:rFonts w:ascii="IBM Plex Sans" w:hAnsi="IBM Plex Sans"/>
                <w:sz w:val="20"/>
              </w:rPr>
              <w:t xml:space="preserve"> </w:t>
            </w:r>
          </w:p>
        </w:tc>
        <w:tc>
          <w:tcPr>
            <w:tcW w:w="9329" w:type="dxa"/>
          </w:tcPr>
          <w:p w14:paraId="0C7F9607" w14:textId="77777777" w:rsidR="00B40FB2" w:rsidRPr="00A256D5" w:rsidRDefault="004123C2">
            <w:pPr>
              <w:spacing w:after="120"/>
              <w:ind w:left="2" w:firstLine="0"/>
              <w:rPr>
                <w:rFonts w:ascii="IBM Plex Sans" w:hAnsi="IBM Plex Sans"/>
              </w:rPr>
            </w:pPr>
            <w:r w:rsidRPr="00A256D5">
              <w:rPr>
                <w:rFonts w:ascii="IBM Plex Sans" w:hAnsi="IBM Plex Sans"/>
                <w:sz w:val="20"/>
              </w:rPr>
              <w:t xml:space="preserve">The Board is committed to: </w:t>
            </w:r>
          </w:p>
          <w:p w14:paraId="15AB3E3F" w14:textId="77777777" w:rsidR="00B40FB2" w:rsidRPr="00A256D5" w:rsidRDefault="004123C2">
            <w:pPr>
              <w:numPr>
                <w:ilvl w:val="0"/>
                <w:numId w:val="17"/>
              </w:numPr>
              <w:spacing w:after="19" w:line="243" w:lineRule="auto"/>
              <w:ind w:hanging="360"/>
              <w:rPr>
                <w:rFonts w:ascii="IBM Plex Sans" w:hAnsi="IBM Plex Sans"/>
              </w:rPr>
            </w:pPr>
            <w:r w:rsidRPr="00A256D5">
              <w:rPr>
                <w:rFonts w:ascii="IBM Plex Sans" w:hAnsi="IBM Plex Sans"/>
                <w:sz w:val="20"/>
              </w:rPr>
              <w:t xml:space="preserve">the promotion of investor confidence by ensuring that trading in Company shares takes place in an efficient, competitive and informed market; </w:t>
            </w:r>
          </w:p>
          <w:p w14:paraId="657FB719" w14:textId="77777777" w:rsidR="00B40FB2" w:rsidRPr="00A256D5" w:rsidRDefault="004123C2">
            <w:pPr>
              <w:numPr>
                <w:ilvl w:val="0"/>
                <w:numId w:val="17"/>
              </w:numPr>
              <w:spacing w:after="17" w:line="243" w:lineRule="auto"/>
              <w:ind w:hanging="360"/>
              <w:rPr>
                <w:rFonts w:ascii="IBM Plex Sans" w:hAnsi="IBM Plex Sans"/>
              </w:rPr>
            </w:pPr>
            <w:r w:rsidRPr="00A256D5">
              <w:rPr>
                <w:rFonts w:ascii="IBM Plex Sans" w:hAnsi="IBM Plex Sans"/>
                <w:sz w:val="20"/>
              </w:rPr>
              <w:t xml:space="preserve">complying with the Company's disclosure obligations under the ASX Listing Rules and the Corporations Act 2001; and </w:t>
            </w:r>
          </w:p>
          <w:p w14:paraId="6FA02D78" w14:textId="77777777" w:rsidR="00B40FB2" w:rsidRPr="00A256D5" w:rsidRDefault="004123C2">
            <w:pPr>
              <w:numPr>
                <w:ilvl w:val="0"/>
                <w:numId w:val="17"/>
              </w:numPr>
              <w:spacing w:after="114" w:line="243" w:lineRule="auto"/>
              <w:ind w:hanging="360"/>
              <w:rPr>
                <w:rFonts w:ascii="IBM Plex Sans" w:hAnsi="IBM Plex Sans"/>
              </w:rPr>
            </w:pPr>
            <w:r w:rsidRPr="00A256D5">
              <w:rPr>
                <w:rFonts w:ascii="IBM Plex Sans" w:hAnsi="IBM Plex Sans"/>
                <w:sz w:val="20"/>
              </w:rPr>
              <w:t xml:space="preserve">ensuring the Company's stakeholders </w:t>
            </w:r>
            <w:proofErr w:type="gramStart"/>
            <w:r w:rsidRPr="00A256D5">
              <w:rPr>
                <w:rFonts w:ascii="IBM Plex Sans" w:hAnsi="IBM Plex Sans"/>
                <w:sz w:val="20"/>
              </w:rPr>
              <w:t>have the opportunity to</w:t>
            </w:r>
            <w:proofErr w:type="gramEnd"/>
            <w:r w:rsidRPr="00A256D5">
              <w:rPr>
                <w:rFonts w:ascii="IBM Plex Sans" w:hAnsi="IBM Plex Sans"/>
                <w:sz w:val="20"/>
              </w:rPr>
              <w:t xml:space="preserve"> access externally available information issued by the Company. </w:t>
            </w:r>
          </w:p>
          <w:p w14:paraId="6EFD4A4E" w14:textId="54652B99"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Board provides shareholders with information using a comprehensive </w:t>
            </w:r>
            <w:hyperlink r:id="rId38">
              <w:r w:rsidRPr="00A256D5">
                <w:rPr>
                  <w:rFonts w:ascii="IBM Plex Sans" w:hAnsi="IBM Plex Sans"/>
                  <w:color w:val="0000FF"/>
                  <w:sz w:val="20"/>
                  <w:u w:val="single" w:color="0000FF"/>
                </w:rPr>
                <w:t>Continuous Disclosure Policy</w:t>
              </w:r>
            </w:hyperlink>
            <w:hyperlink r:id="rId39">
              <w:r w:rsidRPr="00A256D5">
                <w:rPr>
                  <w:rFonts w:ascii="IBM Plex Sans" w:hAnsi="IBM Plex Sans"/>
                  <w:sz w:val="20"/>
                </w:rPr>
                <w:t xml:space="preserve"> </w:t>
              </w:r>
            </w:hyperlink>
            <w:r w:rsidRPr="00A256D5">
              <w:rPr>
                <w:rFonts w:ascii="IBM Plex Sans" w:hAnsi="IBM Plex Sans"/>
                <w:sz w:val="20"/>
              </w:rPr>
              <w:t xml:space="preserve">that can be found on the </w:t>
            </w:r>
            <w:r w:rsidR="00BA705D" w:rsidRPr="00A256D5">
              <w:rPr>
                <w:rFonts w:ascii="IBM Plex Sans" w:hAnsi="IBM Plex Sans"/>
                <w:sz w:val="20"/>
              </w:rPr>
              <w:t>A</w:t>
            </w:r>
            <w:r w:rsidR="0047338A" w:rsidRPr="00A256D5">
              <w:rPr>
                <w:rFonts w:ascii="IBM Plex Sans" w:hAnsi="IBM Plex Sans"/>
                <w:sz w:val="20"/>
              </w:rPr>
              <w:t>cumentis</w:t>
            </w:r>
            <w:r w:rsidRPr="00A256D5">
              <w:rPr>
                <w:rFonts w:ascii="IBM Plex Sans" w:hAnsi="IBM Plex Sans"/>
                <w:sz w:val="20"/>
              </w:rPr>
              <w:t xml:space="preserve"> website. </w:t>
            </w:r>
          </w:p>
          <w:p w14:paraId="061879F7" w14:textId="77777777" w:rsidR="00B40FB2" w:rsidRPr="00A256D5" w:rsidRDefault="004123C2">
            <w:pPr>
              <w:spacing w:after="122"/>
              <w:ind w:left="2" w:firstLine="0"/>
              <w:rPr>
                <w:rFonts w:ascii="IBM Plex Sans" w:hAnsi="IBM Plex Sans"/>
              </w:rPr>
            </w:pPr>
            <w:r w:rsidRPr="00A256D5">
              <w:rPr>
                <w:rFonts w:ascii="IBM Plex Sans" w:hAnsi="IBM Plex Sans"/>
                <w:sz w:val="20"/>
              </w:rPr>
              <w:t xml:space="preserve">The policy includes: </w:t>
            </w:r>
          </w:p>
          <w:p w14:paraId="740BB44C" w14:textId="77777777" w:rsidR="00B40FB2" w:rsidRPr="00A256D5" w:rsidRDefault="004123C2">
            <w:pPr>
              <w:numPr>
                <w:ilvl w:val="0"/>
                <w:numId w:val="17"/>
              </w:numPr>
              <w:spacing w:after="16" w:line="243" w:lineRule="auto"/>
              <w:ind w:hanging="360"/>
              <w:rPr>
                <w:rFonts w:ascii="IBM Plex Sans" w:hAnsi="IBM Plex Sans"/>
              </w:rPr>
            </w:pPr>
            <w:r w:rsidRPr="00A256D5">
              <w:rPr>
                <w:rFonts w:ascii="IBM Plex Sans" w:hAnsi="IBM Plex Sans"/>
                <w:sz w:val="20"/>
              </w:rPr>
              <w:t xml:space="preserve">identifying matters on a timely basis that may have a material effect on the price of the Company’s securities;  </w:t>
            </w:r>
          </w:p>
          <w:p w14:paraId="0010B0F6" w14:textId="77777777" w:rsidR="00B40FB2" w:rsidRPr="00A256D5" w:rsidRDefault="004123C2">
            <w:pPr>
              <w:numPr>
                <w:ilvl w:val="0"/>
                <w:numId w:val="17"/>
              </w:numPr>
              <w:spacing w:after="0"/>
              <w:ind w:hanging="360"/>
              <w:rPr>
                <w:rFonts w:ascii="IBM Plex Sans" w:hAnsi="IBM Plex Sans"/>
              </w:rPr>
            </w:pPr>
            <w:r w:rsidRPr="00A256D5">
              <w:rPr>
                <w:rFonts w:ascii="IBM Plex Sans" w:hAnsi="IBM Plex Sans"/>
                <w:sz w:val="20"/>
              </w:rPr>
              <w:t xml:space="preserve">ensuring the matters are factual and expressed in a clear and factual way; and  </w:t>
            </w:r>
          </w:p>
          <w:p w14:paraId="1B618FD5" w14:textId="77777777" w:rsidR="00B40FB2" w:rsidRPr="00A256D5" w:rsidRDefault="004123C2">
            <w:pPr>
              <w:numPr>
                <w:ilvl w:val="0"/>
                <w:numId w:val="17"/>
              </w:numPr>
              <w:spacing w:after="114" w:line="243" w:lineRule="auto"/>
              <w:ind w:hanging="360"/>
              <w:rPr>
                <w:rFonts w:ascii="IBM Plex Sans" w:hAnsi="IBM Plex Sans"/>
              </w:rPr>
            </w:pPr>
            <w:r w:rsidRPr="00A256D5">
              <w:rPr>
                <w:rFonts w:ascii="IBM Plex Sans" w:hAnsi="IBM Plex Sans"/>
                <w:sz w:val="20"/>
              </w:rPr>
              <w:t xml:space="preserve">notifying the ASX, posting announcements on the Company’s website, and issuing media releases.  </w:t>
            </w:r>
          </w:p>
          <w:p w14:paraId="08D79648"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Chief Executive Officer and Company Secretary are accountable for ensuring adherence to the Continuous Disclosure Policy.  </w:t>
            </w:r>
          </w:p>
          <w:p w14:paraId="51ACF63D" w14:textId="77777777" w:rsidR="00B40FB2" w:rsidRPr="00A256D5" w:rsidRDefault="004123C2">
            <w:pPr>
              <w:spacing w:after="0"/>
              <w:ind w:left="2" w:firstLine="0"/>
              <w:rPr>
                <w:rFonts w:ascii="IBM Plex Sans" w:hAnsi="IBM Plex Sans"/>
              </w:rPr>
            </w:pPr>
            <w:r w:rsidRPr="00A256D5">
              <w:rPr>
                <w:rFonts w:ascii="IBM Plex Sans" w:hAnsi="IBM Plex Sans"/>
                <w:sz w:val="20"/>
              </w:rPr>
              <w:t xml:space="preserve">The Company Secretary is responsible for coordinating the disclosure of information to Regulators and shareholders and ensuring that any notifications/reports to the ASX are promptly posted on the Company's website. </w:t>
            </w:r>
          </w:p>
        </w:tc>
      </w:tr>
    </w:tbl>
    <w:p w14:paraId="107CF0F2" w14:textId="2FCB37BD" w:rsidR="00B40FB2" w:rsidRDefault="004123C2">
      <w:pPr>
        <w:spacing w:after="100"/>
        <w:ind w:left="0" w:firstLine="0"/>
        <w:rPr>
          <w:rFonts w:ascii="Lato" w:hAnsi="Lato"/>
          <w:sz w:val="20"/>
        </w:rPr>
      </w:pPr>
      <w:r w:rsidRPr="00595F31">
        <w:rPr>
          <w:rFonts w:ascii="Lato" w:hAnsi="Lato"/>
          <w:sz w:val="20"/>
        </w:rPr>
        <w:t xml:space="preserve"> </w:t>
      </w:r>
    </w:p>
    <w:p w14:paraId="2226270D" w14:textId="2CB4EBF3" w:rsidR="001B3643" w:rsidRDefault="001B3643">
      <w:pPr>
        <w:spacing w:after="100"/>
        <w:ind w:left="0" w:firstLine="0"/>
        <w:rPr>
          <w:rFonts w:ascii="Lato" w:hAnsi="Lato"/>
          <w:sz w:val="20"/>
        </w:rPr>
      </w:pPr>
    </w:p>
    <w:p w14:paraId="33CC9508" w14:textId="77777777" w:rsidR="001B3643" w:rsidRPr="00595F31" w:rsidRDefault="001B3643">
      <w:pPr>
        <w:spacing w:after="100"/>
        <w:ind w:left="0" w:firstLine="0"/>
        <w:rPr>
          <w:rFonts w:ascii="Lato" w:hAnsi="Lato"/>
        </w:rPr>
      </w:pPr>
    </w:p>
    <w:p w14:paraId="2434273E" w14:textId="57051126" w:rsidR="00B40FB2" w:rsidRDefault="004123C2">
      <w:pPr>
        <w:spacing w:after="0"/>
        <w:ind w:left="0" w:firstLine="0"/>
        <w:jc w:val="both"/>
        <w:rPr>
          <w:rFonts w:ascii="Lato" w:hAnsi="Lato"/>
          <w:sz w:val="20"/>
        </w:rPr>
      </w:pPr>
      <w:r w:rsidRPr="00595F31">
        <w:rPr>
          <w:rFonts w:ascii="Lato" w:hAnsi="Lato"/>
          <w:sz w:val="20"/>
        </w:rPr>
        <w:t xml:space="preserve"> </w:t>
      </w:r>
    </w:p>
    <w:p w14:paraId="786FCBAC" w14:textId="73E582C3" w:rsidR="00126205" w:rsidRDefault="00126205">
      <w:pPr>
        <w:spacing w:after="0"/>
        <w:ind w:left="0" w:firstLine="0"/>
        <w:jc w:val="both"/>
        <w:rPr>
          <w:rFonts w:ascii="Lato" w:hAnsi="Lato"/>
        </w:rPr>
      </w:pPr>
    </w:p>
    <w:p w14:paraId="46D667A7" w14:textId="77777777" w:rsidR="00126205" w:rsidRPr="00595F31" w:rsidRDefault="00126205">
      <w:pPr>
        <w:spacing w:after="0"/>
        <w:ind w:left="0" w:firstLine="0"/>
        <w:jc w:val="both"/>
        <w:rPr>
          <w:rFonts w:ascii="Lato" w:hAnsi="Lato"/>
        </w:rPr>
      </w:pPr>
    </w:p>
    <w:tbl>
      <w:tblPr>
        <w:tblStyle w:val="TableGrid0"/>
        <w:tblW w:w="14034" w:type="dxa"/>
        <w:tblLook w:val="04A0" w:firstRow="1" w:lastRow="0" w:firstColumn="1" w:lastColumn="0" w:noHBand="0" w:noVBand="1"/>
      </w:tblPr>
      <w:tblGrid>
        <w:gridCol w:w="4705"/>
        <w:gridCol w:w="9329"/>
      </w:tblGrid>
      <w:tr w:rsidR="00B40FB2" w:rsidRPr="00126205" w14:paraId="3EEB7A9C" w14:textId="77777777" w:rsidTr="003E359B">
        <w:trPr>
          <w:trHeight w:val="538"/>
        </w:trPr>
        <w:tc>
          <w:tcPr>
            <w:tcW w:w="14034" w:type="dxa"/>
            <w:gridSpan w:val="2"/>
            <w:shd w:val="clear" w:color="auto" w:fill="15420C"/>
          </w:tcPr>
          <w:p w14:paraId="7FD23941" w14:textId="77777777" w:rsidR="00B40FB2" w:rsidRPr="00126205" w:rsidRDefault="004123C2">
            <w:pPr>
              <w:spacing w:after="0"/>
              <w:ind w:left="0" w:firstLine="0"/>
              <w:rPr>
                <w:rFonts w:ascii="IBM Plex Serif Text" w:hAnsi="IBM Plex Serif Text"/>
              </w:rPr>
            </w:pPr>
            <w:r w:rsidRPr="00126205">
              <w:rPr>
                <w:rFonts w:ascii="IBM Plex Serif Text" w:hAnsi="IBM Plex Serif Text"/>
                <w:color w:val="FFFFFF"/>
                <w:sz w:val="24"/>
              </w:rPr>
              <w:t>6.</w:t>
            </w:r>
            <w:r w:rsidRPr="00126205">
              <w:rPr>
                <w:rFonts w:ascii="IBM Plex Serif Text" w:eastAsia="Arial" w:hAnsi="IBM Plex Serif Text" w:cs="Arial"/>
                <w:b/>
                <w:color w:val="FFFFFF"/>
                <w:sz w:val="24"/>
              </w:rPr>
              <w:t xml:space="preserve"> </w:t>
            </w:r>
            <w:r w:rsidRPr="00126205">
              <w:rPr>
                <w:rFonts w:ascii="IBM Plex Serif Text" w:hAnsi="IBM Plex Serif Text"/>
                <w:color w:val="FFFFFF"/>
                <w:sz w:val="24"/>
              </w:rPr>
              <w:t>RESPECT THE RIGHTS OF SECURITY HOLDERS</w:t>
            </w:r>
            <w:r w:rsidRPr="00126205">
              <w:rPr>
                <w:rFonts w:ascii="IBM Plex Serif Text" w:hAnsi="IBM Plex Serif Text"/>
                <w:color w:val="FFFFFF"/>
                <w:sz w:val="20"/>
              </w:rPr>
              <w:t xml:space="preserve"> </w:t>
            </w:r>
          </w:p>
        </w:tc>
      </w:tr>
      <w:tr w:rsidR="00B40FB2" w:rsidRPr="00126205" w14:paraId="67CDF446" w14:textId="77777777" w:rsidTr="003E359B">
        <w:trPr>
          <w:trHeight w:val="2668"/>
        </w:trPr>
        <w:tc>
          <w:tcPr>
            <w:tcW w:w="4705" w:type="dxa"/>
          </w:tcPr>
          <w:p w14:paraId="6ACB8038" w14:textId="77777777" w:rsidR="00B40FB2" w:rsidRPr="00A256D5" w:rsidRDefault="004123C2">
            <w:pPr>
              <w:spacing w:after="0"/>
              <w:ind w:left="360" w:right="21" w:hanging="360"/>
              <w:rPr>
                <w:rFonts w:ascii="IBM Plex Sans" w:hAnsi="IBM Plex Sans"/>
              </w:rPr>
            </w:pPr>
            <w:r w:rsidRPr="00A256D5">
              <w:rPr>
                <w:rFonts w:ascii="IBM Plex Sans" w:hAnsi="IBM Plex Sans"/>
                <w:sz w:val="20"/>
              </w:rPr>
              <w:t xml:space="preserve">6.1 A listed entity should provide information about itself and its governance to investors via its website. </w:t>
            </w:r>
          </w:p>
        </w:tc>
        <w:tc>
          <w:tcPr>
            <w:tcW w:w="9329" w:type="dxa"/>
          </w:tcPr>
          <w:p w14:paraId="1C02E479" w14:textId="62C9960C" w:rsidR="00B40FB2" w:rsidRPr="00A256D5" w:rsidRDefault="004123C2">
            <w:pPr>
              <w:spacing w:after="143" w:line="237" w:lineRule="auto"/>
              <w:ind w:left="2" w:firstLine="0"/>
              <w:rPr>
                <w:rFonts w:ascii="IBM Plex Sans" w:hAnsi="IBM Plex Sans"/>
              </w:rPr>
            </w:pPr>
            <w:r w:rsidRPr="00A256D5">
              <w:rPr>
                <w:rFonts w:ascii="IBM Plex Sans" w:hAnsi="IBM Plex Sans"/>
                <w:sz w:val="20"/>
              </w:rPr>
              <w:t xml:space="preserve">Consistent with the Continuous Disclosure Policy, </w:t>
            </w:r>
            <w:r w:rsidR="00BA705D" w:rsidRPr="00A256D5">
              <w:rPr>
                <w:rFonts w:ascii="IBM Plex Sans" w:hAnsi="IBM Plex Sans"/>
                <w:sz w:val="20"/>
              </w:rPr>
              <w:t>A</w:t>
            </w:r>
            <w:r w:rsidR="0047338A" w:rsidRPr="00A256D5">
              <w:rPr>
                <w:rFonts w:ascii="IBM Plex Sans" w:hAnsi="IBM Plex Sans"/>
                <w:sz w:val="20"/>
              </w:rPr>
              <w:t>cumentis</w:t>
            </w:r>
            <w:r w:rsidRPr="00A256D5">
              <w:rPr>
                <w:rFonts w:ascii="IBM Plex Sans" w:hAnsi="IBM Plex Sans"/>
                <w:sz w:val="20"/>
              </w:rPr>
              <w:t xml:space="preserve"> is committed to communicating with shareholders in an effective and timely manner, </w:t>
            </w:r>
            <w:proofErr w:type="gramStart"/>
            <w:r w:rsidRPr="00A256D5">
              <w:rPr>
                <w:rFonts w:ascii="IBM Plex Sans" w:hAnsi="IBM Plex Sans"/>
                <w:sz w:val="20"/>
              </w:rPr>
              <w:t>so as to</w:t>
            </w:r>
            <w:proofErr w:type="gramEnd"/>
            <w:r w:rsidRPr="00A256D5">
              <w:rPr>
                <w:rFonts w:ascii="IBM Plex Sans" w:hAnsi="IBM Plex Sans"/>
                <w:sz w:val="20"/>
              </w:rPr>
              <w:t xml:space="preserve"> provide them with ready access to information relating to </w:t>
            </w:r>
            <w:r w:rsidR="00BA705D" w:rsidRPr="00A256D5">
              <w:rPr>
                <w:rFonts w:ascii="IBM Plex Sans" w:hAnsi="IBM Plex Sans"/>
                <w:sz w:val="20"/>
              </w:rPr>
              <w:t>A</w:t>
            </w:r>
            <w:r w:rsidR="0047338A" w:rsidRPr="00A256D5">
              <w:rPr>
                <w:rFonts w:ascii="IBM Plex Sans" w:hAnsi="IBM Plex Sans"/>
                <w:sz w:val="20"/>
              </w:rPr>
              <w:t>cumentis</w:t>
            </w:r>
            <w:r w:rsidRPr="00A256D5">
              <w:rPr>
                <w:rFonts w:ascii="IBM Plex Sans" w:hAnsi="IBM Plex Sans"/>
                <w:sz w:val="20"/>
              </w:rPr>
              <w:t xml:space="preserve">. The Company's primary communication portals are: </w:t>
            </w:r>
          </w:p>
          <w:p w14:paraId="3603C0D0" w14:textId="0826DD5D" w:rsidR="00B40FB2" w:rsidRPr="00A256D5" w:rsidRDefault="004123C2">
            <w:pPr>
              <w:numPr>
                <w:ilvl w:val="0"/>
                <w:numId w:val="18"/>
              </w:numPr>
              <w:spacing w:after="0"/>
              <w:ind w:hanging="360"/>
              <w:rPr>
                <w:rFonts w:ascii="IBM Plex Sans" w:hAnsi="IBM Plex Sans"/>
              </w:rPr>
            </w:pPr>
            <w:r w:rsidRPr="00A256D5">
              <w:rPr>
                <w:rFonts w:ascii="IBM Plex Sans" w:hAnsi="IBM Plex Sans"/>
                <w:sz w:val="20"/>
              </w:rPr>
              <w:t xml:space="preserve">the website </w:t>
            </w:r>
            <w:hyperlink r:id="rId40">
              <w:r w:rsidRPr="00A256D5">
                <w:rPr>
                  <w:rFonts w:ascii="IBM Plex Sans" w:hAnsi="IBM Plex Sans"/>
                  <w:color w:val="0000FF"/>
                  <w:sz w:val="20"/>
                  <w:u w:val="single" w:color="0000FF"/>
                </w:rPr>
                <w:t>www.</w:t>
              </w:r>
              <w:r w:rsidR="00BA705D" w:rsidRPr="00A256D5">
                <w:rPr>
                  <w:rFonts w:ascii="IBM Plex Sans" w:hAnsi="IBM Plex Sans"/>
                  <w:color w:val="0000FF"/>
                  <w:sz w:val="20"/>
                  <w:u w:val="single" w:color="0000FF"/>
                </w:rPr>
                <w:t>Acumentis</w:t>
              </w:r>
              <w:r w:rsidRPr="00A256D5">
                <w:rPr>
                  <w:rFonts w:ascii="IBM Plex Sans" w:hAnsi="IBM Plex Sans"/>
                  <w:color w:val="0000FF"/>
                  <w:sz w:val="20"/>
                  <w:u w:val="single" w:color="0000FF"/>
                </w:rPr>
                <w:t>.com.au</w:t>
              </w:r>
            </w:hyperlink>
            <w:hyperlink r:id="rId41">
              <w:r w:rsidRPr="00A256D5">
                <w:rPr>
                  <w:rFonts w:ascii="IBM Plex Sans" w:hAnsi="IBM Plex Sans"/>
                  <w:sz w:val="20"/>
                </w:rPr>
                <w:t xml:space="preserve">, </w:t>
              </w:r>
            </w:hyperlink>
            <w:r w:rsidRPr="00A256D5">
              <w:rPr>
                <w:rFonts w:ascii="IBM Plex Sans" w:hAnsi="IBM Plex Sans"/>
                <w:sz w:val="20"/>
              </w:rPr>
              <w:t xml:space="preserve"> </w:t>
            </w:r>
          </w:p>
          <w:p w14:paraId="4908B0A5" w14:textId="77777777" w:rsidR="00B40FB2" w:rsidRPr="00A256D5" w:rsidRDefault="004123C2">
            <w:pPr>
              <w:numPr>
                <w:ilvl w:val="0"/>
                <w:numId w:val="18"/>
              </w:numPr>
              <w:spacing w:after="0"/>
              <w:ind w:hanging="360"/>
              <w:rPr>
                <w:rFonts w:ascii="IBM Plex Sans" w:hAnsi="IBM Plex Sans"/>
              </w:rPr>
            </w:pPr>
            <w:r w:rsidRPr="00A256D5">
              <w:rPr>
                <w:rFonts w:ascii="IBM Plex Sans" w:hAnsi="IBM Plex Sans"/>
                <w:sz w:val="20"/>
              </w:rPr>
              <w:t xml:space="preserve">the Annual Report,  </w:t>
            </w:r>
          </w:p>
          <w:p w14:paraId="6D6D95E9" w14:textId="77777777" w:rsidR="00B40FB2" w:rsidRPr="00A256D5" w:rsidRDefault="004123C2">
            <w:pPr>
              <w:numPr>
                <w:ilvl w:val="0"/>
                <w:numId w:val="18"/>
              </w:numPr>
              <w:spacing w:after="0"/>
              <w:ind w:hanging="360"/>
              <w:rPr>
                <w:rFonts w:ascii="IBM Plex Sans" w:hAnsi="IBM Plex Sans"/>
              </w:rPr>
            </w:pPr>
            <w:r w:rsidRPr="00A256D5">
              <w:rPr>
                <w:rFonts w:ascii="IBM Plex Sans" w:hAnsi="IBM Plex Sans"/>
                <w:sz w:val="20"/>
              </w:rPr>
              <w:t xml:space="preserve">Annual General Meeting,  </w:t>
            </w:r>
          </w:p>
          <w:p w14:paraId="201D0209" w14:textId="77777777" w:rsidR="00B40FB2" w:rsidRPr="00A256D5" w:rsidRDefault="004123C2">
            <w:pPr>
              <w:numPr>
                <w:ilvl w:val="0"/>
                <w:numId w:val="18"/>
              </w:numPr>
              <w:spacing w:after="0"/>
              <w:ind w:hanging="360"/>
              <w:rPr>
                <w:rFonts w:ascii="IBM Plex Sans" w:hAnsi="IBM Plex Sans"/>
              </w:rPr>
            </w:pPr>
            <w:r w:rsidRPr="00A256D5">
              <w:rPr>
                <w:rFonts w:ascii="IBM Plex Sans" w:hAnsi="IBM Plex Sans"/>
                <w:sz w:val="20"/>
              </w:rPr>
              <w:t xml:space="preserve">Half-Yearly Report, and  </w:t>
            </w:r>
          </w:p>
          <w:p w14:paraId="13E3C673" w14:textId="77777777" w:rsidR="00B40FB2" w:rsidRPr="00A256D5" w:rsidRDefault="004123C2">
            <w:pPr>
              <w:numPr>
                <w:ilvl w:val="0"/>
                <w:numId w:val="18"/>
              </w:numPr>
              <w:spacing w:after="77"/>
              <w:ind w:hanging="360"/>
              <w:rPr>
                <w:rFonts w:ascii="IBM Plex Sans" w:hAnsi="IBM Plex Sans"/>
              </w:rPr>
            </w:pPr>
            <w:r w:rsidRPr="00A256D5">
              <w:rPr>
                <w:rFonts w:ascii="IBM Plex Sans" w:hAnsi="IBM Plex Sans"/>
                <w:sz w:val="20"/>
              </w:rPr>
              <w:t xml:space="preserve">company announcements to the ASX. </w:t>
            </w:r>
          </w:p>
          <w:p w14:paraId="2440DF94" w14:textId="6F876B37" w:rsidR="00B40FB2" w:rsidRPr="00A256D5" w:rsidRDefault="004123C2">
            <w:pPr>
              <w:spacing w:after="0"/>
              <w:ind w:left="2" w:firstLine="0"/>
              <w:rPr>
                <w:rFonts w:ascii="IBM Plex Sans" w:hAnsi="IBM Plex Sans"/>
              </w:rPr>
            </w:pPr>
            <w:r w:rsidRPr="00A256D5">
              <w:rPr>
                <w:rFonts w:ascii="IBM Plex Sans" w:hAnsi="IBM Plex Sans"/>
                <w:sz w:val="20"/>
              </w:rPr>
              <w:t xml:space="preserve">Information about </w:t>
            </w:r>
            <w:r w:rsidR="00BA705D" w:rsidRPr="00A256D5">
              <w:rPr>
                <w:rFonts w:ascii="IBM Plex Sans" w:hAnsi="IBM Plex Sans"/>
                <w:sz w:val="20"/>
              </w:rPr>
              <w:t>A</w:t>
            </w:r>
            <w:r w:rsidR="0047338A" w:rsidRPr="00A256D5">
              <w:rPr>
                <w:rFonts w:ascii="IBM Plex Sans" w:hAnsi="IBM Plex Sans"/>
                <w:sz w:val="20"/>
              </w:rPr>
              <w:t>cumentis</w:t>
            </w:r>
            <w:r w:rsidRPr="00A256D5">
              <w:rPr>
                <w:rFonts w:ascii="IBM Plex Sans" w:hAnsi="IBM Plex Sans"/>
                <w:sz w:val="20"/>
              </w:rPr>
              <w:t xml:space="preserve"> and its </w:t>
            </w:r>
            <w:hyperlink r:id="rId42">
              <w:r w:rsidRPr="00A256D5">
                <w:rPr>
                  <w:rFonts w:ascii="IBM Plex Sans" w:hAnsi="IBM Plex Sans"/>
                  <w:color w:val="0000FF"/>
                  <w:sz w:val="20"/>
                  <w:u w:val="single" w:color="0000FF"/>
                </w:rPr>
                <w:t>corporate governance</w:t>
              </w:r>
            </w:hyperlink>
            <w:hyperlink r:id="rId43">
              <w:r w:rsidRPr="00A256D5">
                <w:rPr>
                  <w:rFonts w:ascii="IBM Plex Sans" w:hAnsi="IBM Plex Sans"/>
                  <w:sz w:val="20"/>
                </w:rPr>
                <w:t xml:space="preserve"> </w:t>
              </w:r>
            </w:hyperlink>
            <w:r w:rsidRPr="00A256D5">
              <w:rPr>
                <w:rFonts w:ascii="IBM Plex Sans" w:hAnsi="IBM Plex Sans"/>
                <w:sz w:val="20"/>
              </w:rPr>
              <w:t xml:space="preserve">items are posted on the Company's website at  </w:t>
            </w:r>
          </w:p>
        </w:tc>
      </w:tr>
      <w:tr w:rsidR="00B40FB2" w:rsidRPr="00126205" w14:paraId="3774A048" w14:textId="77777777" w:rsidTr="003E359B">
        <w:trPr>
          <w:trHeight w:val="1331"/>
        </w:trPr>
        <w:tc>
          <w:tcPr>
            <w:tcW w:w="4705" w:type="dxa"/>
          </w:tcPr>
          <w:p w14:paraId="63211485" w14:textId="77777777" w:rsidR="00B40FB2" w:rsidRPr="00A256D5" w:rsidRDefault="004123C2">
            <w:pPr>
              <w:spacing w:after="0"/>
              <w:ind w:left="360" w:hanging="360"/>
              <w:rPr>
                <w:rFonts w:ascii="IBM Plex Sans" w:hAnsi="IBM Plex Sans"/>
              </w:rPr>
            </w:pPr>
            <w:r w:rsidRPr="00A256D5">
              <w:rPr>
                <w:rFonts w:ascii="IBM Plex Sans" w:hAnsi="IBM Plex Sans"/>
                <w:sz w:val="20"/>
              </w:rPr>
              <w:t xml:space="preserve">6.2 A listed entity should design and implement an investor relations program to facilitate effective two-way communication with investors. </w:t>
            </w:r>
          </w:p>
        </w:tc>
        <w:tc>
          <w:tcPr>
            <w:tcW w:w="9329" w:type="dxa"/>
          </w:tcPr>
          <w:p w14:paraId="071D0C29"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Company Secretary oversees and coordinates the distribution of all appropriate information by the Company to the ASX, shareholders, the media and the public. </w:t>
            </w:r>
          </w:p>
          <w:p w14:paraId="00682C35" w14:textId="77777777" w:rsidR="00B40FB2" w:rsidRPr="00A256D5" w:rsidRDefault="004123C2">
            <w:pPr>
              <w:spacing w:after="0"/>
              <w:ind w:left="2" w:firstLine="0"/>
              <w:rPr>
                <w:rFonts w:ascii="IBM Plex Sans" w:hAnsi="IBM Plex Sans"/>
              </w:rPr>
            </w:pPr>
            <w:r w:rsidRPr="00A256D5">
              <w:rPr>
                <w:rFonts w:ascii="IBM Plex Sans" w:hAnsi="IBM Plex Sans"/>
                <w:sz w:val="20"/>
              </w:rPr>
              <w:t xml:space="preserve">The Company has engaged an Investor Relations consultant to help implement a shareholder communication program and provide effective communications to investors.  </w:t>
            </w:r>
          </w:p>
        </w:tc>
      </w:tr>
      <w:tr w:rsidR="00B40FB2" w:rsidRPr="00126205" w14:paraId="5D21234F" w14:textId="77777777" w:rsidTr="003E359B">
        <w:trPr>
          <w:trHeight w:val="1210"/>
        </w:trPr>
        <w:tc>
          <w:tcPr>
            <w:tcW w:w="4705" w:type="dxa"/>
          </w:tcPr>
          <w:p w14:paraId="1035B863" w14:textId="77777777" w:rsidR="00B40FB2" w:rsidRPr="00A256D5" w:rsidRDefault="004123C2">
            <w:pPr>
              <w:spacing w:after="0"/>
              <w:ind w:left="360" w:hanging="360"/>
              <w:rPr>
                <w:rFonts w:ascii="IBM Plex Sans" w:hAnsi="IBM Plex Sans"/>
              </w:rPr>
            </w:pPr>
            <w:r w:rsidRPr="00A256D5">
              <w:rPr>
                <w:rFonts w:ascii="IBM Plex Sans" w:hAnsi="IBM Plex Sans"/>
                <w:sz w:val="20"/>
              </w:rPr>
              <w:t xml:space="preserve">6.3 A listed entity should disclose the policies and processes it has in place to facilitate and encourage participation at meetings of security holders. </w:t>
            </w:r>
          </w:p>
        </w:tc>
        <w:tc>
          <w:tcPr>
            <w:tcW w:w="9329" w:type="dxa"/>
          </w:tcPr>
          <w:p w14:paraId="77EF61BD" w14:textId="4830A8CC"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dates and locations of security holder meetings are published via the ASX and also shown on the Company website at </w:t>
            </w:r>
            <w:hyperlink r:id="rId44">
              <w:r w:rsidRPr="00A256D5">
                <w:rPr>
                  <w:rFonts w:ascii="IBM Plex Sans" w:hAnsi="IBM Plex Sans"/>
                  <w:color w:val="0000FF"/>
                  <w:sz w:val="20"/>
                  <w:u w:val="single" w:color="0000FF"/>
                </w:rPr>
                <w:t>www.</w:t>
              </w:r>
              <w:r w:rsidR="00BA705D" w:rsidRPr="00A256D5">
                <w:rPr>
                  <w:rFonts w:ascii="IBM Plex Sans" w:hAnsi="IBM Plex Sans"/>
                  <w:color w:val="0000FF"/>
                  <w:sz w:val="20"/>
                  <w:u w:val="single" w:color="0000FF"/>
                </w:rPr>
                <w:t>Acumentis</w:t>
              </w:r>
              <w:r w:rsidRPr="00A256D5">
                <w:rPr>
                  <w:rFonts w:ascii="IBM Plex Sans" w:hAnsi="IBM Plex Sans"/>
                  <w:color w:val="0000FF"/>
                  <w:sz w:val="20"/>
                  <w:u w:val="single" w:color="0000FF"/>
                </w:rPr>
                <w:t>.com.au</w:t>
              </w:r>
            </w:hyperlink>
            <w:hyperlink r:id="rId45">
              <w:r w:rsidRPr="00A256D5">
                <w:rPr>
                  <w:rFonts w:ascii="IBM Plex Sans" w:hAnsi="IBM Plex Sans"/>
                  <w:sz w:val="20"/>
                </w:rPr>
                <w:t>.</w:t>
              </w:r>
            </w:hyperlink>
            <w:r w:rsidRPr="00A256D5">
              <w:rPr>
                <w:rFonts w:ascii="IBM Plex Sans" w:hAnsi="IBM Plex Sans"/>
                <w:sz w:val="20"/>
              </w:rPr>
              <w:t xml:space="preserve">   </w:t>
            </w:r>
          </w:p>
          <w:p w14:paraId="35857D35" w14:textId="77777777" w:rsidR="00B40FB2" w:rsidRPr="00A256D5" w:rsidRDefault="004123C2">
            <w:pPr>
              <w:spacing w:after="0"/>
              <w:ind w:left="2" w:firstLine="0"/>
              <w:rPr>
                <w:rFonts w:ascii="IBM Plex Sans" w:hAnsi="IBM Plex Sans"/>
              </w:rPr>
            </w:pPr>
            <w:r w:rsidRPr="00A256D5">
              <w:rPr>
                <w:rFonts w:ascii="IBM Plex Sans" w:hAnsi="IBM Plex Sans"/>
                <w:sz w:val="20"/>
              </w:rPr>
              <w:t xml:space="preserve"> </w:t>
            </w:r>
          </w:p>
        </w:tc>
      </w:tr>
      <w:tr w:rsidR="00B40FB2" w:rsidRPr="00126205" w14:paraId="4587D2A6" w14:textId="77777777" w:rsidTr="003E359B">
        <w:trPr>
          <w:trHeight w:val="1449"/>
        </w:trPr>
        <w:tc>
          <w:tcPr>
            <w:tcW w:w="4705" w:type="dxa"/>
          </w:tcPr>
          <w:p w14:paraId="5B546B5C" w14:textId="77777777" w:rsidR="00B40FB2" w:rsidRPr="00A256D5" w:rsidRDefault="004123C2">
            <w:pPr>
              <w:spacing w:after="0"/>
              <w:ind w:left="360" w:hanging="360"/>
              <w:rPr>
                <w:rFonts w:ascii="IBM Plex Sans" w:hAnsi="IBM Plex Sans"/>
              </w:rPr>
            </w:pPr>
            <w:r w:rsidRPr="00A256D5">
              <w:rPr>
                <w:rFonts w:ascii="IBM Plex Sans" w:hAnsi="IBM Plex Sans"/>
                <w:sz w:val="20"/>
              </w:rPr>
              <w:t xml:space="preserve">6.4 A listed entity should give security holders the option to receive communications from, and send communications to, the entity and its security registry electronically. </w:t>
            </w:r>
          </w:p>
        </w:tc>
        <w:tc>
          <w:tcPr>
            <w:tcW w:w="9329" w:type="dxa"/>
          </w:tcPr>
          <w:p w14:paraId="50A78435" w14:textId="77715B57" w:rsidR="00B40FB2" w:rsidRPr="00A256D5" w:rsidRDefault="00BA705D">
            <w:pPr>
              <w:spacing w:after="0"/>
              <w:ind w:left="2" w:right="12" w:firstLine="0"/>
              <w:rPr>
                <w:rFonts w:ascii="IBM Plex Sans" w:hAnsi="IBM Plex Sans"/>
              </w:rPr>
            </w:pPr>
            <w:r w:rsidRPr="00A256D5">
              <w:rPr>
                <w:rFonts w:ascii="IBM Plex Sans" w:hAnsi="IBM Plex Sans"/>
                <w:sz w:val="20"/>
              </w:rPr>
              <w:t>A</w:t>
            </w:r>
            <w:r w:rsidR="0047338A" w:rsidRPr="00A256D5">
              <w:rPr>
                <w:rFonts w:ascii="IBM Plex Sans" w:hAnsi="IBM Plex Sans"/>
                <w:sz w:val="20"/>
              </w:rPr>
              <w:t>cumentis</w:t>
            </w:r>
            <w:r w:rsidR="004123C2" w:rsidRPr="00A256D5">
              <w:rPr>
                <w:rFonts w:ascii="IBM Plex Sans" w:hAnsi="IBM Plex Sans"/>
                <w:sz w:val="20"/>
              </w:rPr>
              <w:t xml:space="preserve"> uses a Registry company to record and maintain records of security holders. The registry provides appropriate channels of communication to security holders to receive information about the company and provides choices of method of receiving this information. The Registry strongly supports electronic communications and has this as its default communication method.  The current Registry is </w:t>
            </w:r>
            <w:hyperlink r:id="rId46">
              <w:proofErr w:type="spellStart"/>
              <w:r w:rsidR="004123C2" w:rsidRPr="00A256D5">
                <w:rPr>
                  <w:rFonts w:ascii="IBM Plex Sans" w:hAnsi="IBM Plex Sans"/>
                  <w:color w:val="0000FF"/>
                  <w:sz w:val="20"/>
                  <w:u w:val="single" w:color="0000FF"/>
                </w:rPr>
                <w:t>Automic</w:t>
              </w:r>
              <w:proofErr w:type="spellEnd"/>
              <w:r w:rsidR="004123C2" w:rsidRPr="00A256D5">
                <w:rPr>
                  <w:rFonts w:ascii="IBM Plex Sans" w:hAnsi="IBM Plex Sans"/>
                  <w:color w:val="0000FF"/>
                  <w:sz w:val="20"/>
                  <w:u w:val="single" w:color="0000FF"/>
                </w:rPr>
                <w:t xml:space="preserve"> Pty</w:t>
              </w:r>
            </w:hyperlink>
            <w:hyperlink r:id="rId47">
              <w:r w:rsidR="004123C2" w:rsidRPr="00A256D5">
                <w:rPr>
                  <w:rFonts w:ascii="IBM Plex Sans" w:hAnsi="IBM Plex Sans"/>
                  <w:color w:val="0000FF"/>
                  <w:sz w:val="20"/>
                </w:rPr>
                <w:t xml:space="preserve"> </w:t>
              </w:r>
            </w:hyperlink>
            <w:hyperlink r:id="rId48">
              <w:r w:rsidR="004123C2" w:rsidRPr="00A256D5">
                <w:rPr>
                  <w:rFonts w:ascii="IBM Plex Sans" w:hAnsi="IBM Plex Sans"/>
                  <w:color w:val="0000FF"/>
                  <w:sz w:val="20"/>
                  <w:u w:val="single" w:color="0000FF"/>
                </w:rPr>
                <w:t>Ltd</w:t>
              </w:r>
            </w:hyperlink>
            <w:hyperlink r:id="rId49">
              <w:r w:rsidR="004123C2" w:rsidRPr="00A256D5">
                <w:rPr>
                  <w:rFonts w:ascii="IBM Plex Sans" w:hAnsi="IBM Plex Sans"/>
                  <w:sz w:val="20"/>
                </w:rPr>
                <w:t xml:space="preserve">. </w:t>
              </w:r>
            </w:hyperlink>
            <w:r w:rsidR="004123C2" w:rsidRPr="00A256D5">
              <w:rPr>
                <w:rFonts w:ascii="IBM Plex Sans" w:hAnsi="IBM Plex Sans"/>
                <w:sz w:val="20"/>
              </w:rPr>
              <w:t xml:space="preserve"> </w:t>
            </w:r>
          </w:p>
        </w:tc>
      </w:tr>
    </w:tbl>
    <w:p w14:paraId="06A90BA4" w14:textId="77777777" w:rsidR="00B40FB2" w:rsidRPr="00595F31" w:rsidRDefault="004123C2">
      <w:pPr>
        <w:spacing w:after="100"/>
        <w:ind w:left="0" w:firstLine="0"/>
        <w:rPr>
          <w:rFonts w:ascii="Lato" w:hAnsi="Lato"/>
        </w:rPr>
      </w:pPr>
      <w:r w:rsidRPr="00595F31">
        <w:rPr>
          <w:rFonts w:ascii="Lato" w:hAnsi="Lato"/>
          <w:sz w:val="20"/>
        </w:rPr>
        <w:t xml:space="preserve"> </w:t>
      </w:r>
    </w:p>
    <w:p w14:paraId="54380224" w14:textId="77777777" w:rsidR="00126205" w:rsidRDefault="004123C2">
      <w:pPr>
        <w:spacing w:after="0"/>
        <w:ind w:left="0" w:firstLine="0"/>
        <w:jc w:val="both"/>
        <w:rPr>
          <w:rFonts w:ascii="Lato" w:hAnsi="Lato"/>
          <w:sz w:val="20"/>
        </w:rPr>
      </w:pPr>
      <w:r w:rsidRPr="00595F31">
        <w:rPr>
          <w:rFonts w:ascii="Lato" w:hAnsi="Lato"/>
          <w:sz w:val="20"/>
        </w:rPr>
        <w:t xml:space="preserve"> </w:t>
      </w:r>
      <w:r w:rsidRPr="00595F31">
        <w:rPr>
          <w:rFonts w:ascii="Lato" w:hAnsi="Lato"/>
          <w:sz w:val="20"/>
        </w:rPr>
        <w:tab/>
      </w:r>
    </w:p>
    <w:p w14:paraId="1E7AD568" w14:textId="77777777" w:rsidR="00126205" w:rsidRDefault="00126205">
      <w:pPr>
        <w:spacing w:after="0"/>
        <w:ind w:left="0" w:firstLine="0"/>
        <w:jc w:val="both"/>
        <w:rPr>
          <w:rFonts w:ascii="Lato" w:hAnsi="Lato"/>
          <w:sz w:val="20"/>
        </w:rPr>
      </w:pPr>
    </w:p>
    <w:p w14:paraId="1E30442F" w14:textId="03B6FFAA" w:rsidR="00B40FB2" w:rsidRPr="00595F31" w:rsidRDefault="004123C2">
      <w:pPr>
        <w:spacing w:after="0"/>
        <w:ind w:left="0" w:firstLine="0"/>
        <w:jc w:val="both"/>
        <w:rPr>
          <w:rFonts w:ascii="Lato" w:hAnsi="Lato"/>
        </w:rPr>
      </w:pPr>
      <w:r w:rsidRPr="00595F31">
        <w:rPr>
          <w:rFonts w:ascii="Lato" w:hAnsi="Lato"/>
          <w:sz w:val="20"/>
        </w:rPr>
        <w:lastRenderedPageBreak/>
        <w:t xml:space="preserve"> </w:t>
      </w:r>
    </w:p>
    <w:p w14:paraId="3CB47BFE" w14:textId="77777777" w:rsidR="00B40FB2" w:rsidRPr="00595F31" w:rsidRDefault="00B40FB2">
      <w:pPr>
        <w:spacing w:after="0"/>
        <w:ind w:left="-1440" w:right="15465" w:firstLine="0"/>
        <w:rPr>
          <w:rFonts w:ascii="Lato" w:hAnsi="Lato"/>
        </w:rPr>
      </w:pPr>
    </w:p>
    <w:tbl>
      <w:tblPr>
        <w:tblStyle w:val="TableGrid0"/>
        <w:tblW w:w="14034" w:type="dxa"/>
        <w:tblLook w:val="04A0" w:firstRow="1" w:lastRow="0" w:firstColumn="1" w:lastColumn="0" w:noHBand="0" w:noVBand="1"/>
      </w:tblPr>
      <w:tblGrid>
        <w:gridCol w:w="4705"/>
        <w:gridCol w:w="9329"/>
      </w:tblGrid>
      <w:tr w:rsidR="00B40FB2" w:rsidRPr="00595F31" w14:paraId="36EFB4CE" w14:textId="77777777" w:rsidTr="003E359B">
        <w:trPr>
          <w:trHeight w:val="538"/>
        </w:trPr>
        <w:tc>
          <w:tcPr>
            <w:tcW w:w="14034" w:type="dxa"/>
            <w:gridSpan w:val="2"/>
            <w:shd w:val="clear" w:color="auto" w:fill="15420C"/>
          </w:tcPr>
          <w:p w14:paraId="73058C99" w14:textId="77777777" w:rsidR="00B40FB2" w:rsidRPr="00126205" w:rsidRDefault="004123C2">
            <w:pPr>
              <w:spacing w:after="0"/>
              <w:ind w:left="0" w:firstLine="0"/>
              <w:rPr>
                <w:rFonts w:ascii="IBM Plex Serif Text" w:hAnsi="IBM Plex Serif Text"/>
              </w:rPr>
            </w:pPr>
            <w:r w:rsidRPr="00126205">
              <w:rPr>
                <w:rFonts w:ascii="IBM Plex Serif Text" w:hAnsi="IBM Plex Serif Text"/>
                <w:color w:val="FFFFFF"/>
                <w:sz w:val="24"/>
              </w:rPr>
              <w:t>7.</w:t>
            </w:r>
            <w:r w:rsidRPr="00126205">
              <w:rPr>
                <w:rFonts w:ascii="IBM Plex Serif Text" w:eastAsia="Arial" w:hAnsi="IBM Plex Serif Text" w:cs="Arial"/>
                <w:b/>
                <w:color w:val="FFFFFF"/>
                <w:sz w:val="24"/>
              </w:rPr>
              <w:t xml:space="preserve"> </w:t>
            </w:r>
            <w:r w:rsidRPr="00126205">
              <w:rPr>
                <w:rFonts w:ascii="IBM Plex Serif Text" w:hAnsi="IBM Plex Serif Text"/>
                <w:color w:val="FFFFFF"/>
                <w:sz w:val="24"/>
              </w:rPr>
              <w:t>RECOGNISE AND MANAGE RISK</w:t>
            </w:r>
            <w:r w:rsidRPr="00126205">
              <w:rPr>
                <w:rFonts w:ascii="IBM Plex Serif Text" w:hAnsi="IBM Plex Serif Text"/>
                <w:color w:val="FFFFFF"/>
                <w:sz w:val="20"/>
              </w:rPr>
              <w:t xml:space="preserve"> </w:t>
            </w:r>
          </w:p>
        </w:tc>
      </w:tr>
      <w:tr w:rsidR="00B40FB2" w:rsidRPr="00595F31" w14:paraId="5FEB833A" w14:textId="77777777" w:rsidTr="003E359B">
        <w:trPr>
          <w:trHeight w:val="6404"/>
        </w:trPr>
        <w:tc>
          <w:tcPr>
            <w:tcW w:w="4705" w:type="dxa"/>
          </w:tcPr>
          <w:p w14:paraId="24F819FB" w14:textId="77777777" w:rsidR="00B40FB2" w:rsidRPr="00126205" w:rsidRDefault="004123C2">
            <w:pPr>
              <w:spacing w:after="117"/>
              <w:ind w:left="0" w:firstLine="0"/>
              <w:rPr>
                <w:rFonts w:ascii="IBM Plex Sans Light" w:hAnsi="IBM Plex Sans Light"/>
                <w:b/>
                <w:bCs/>
              </w:rPr>
            </w:pPr>
            <w:r w:rsidRPr="00126205">
              <w:rPr>
                <w:rFonts w:ascii="IBM Plex Sans Light" w:hAnsi="IBM Plex Sans Light"/>
                <w:b/>
                <w:bCs/>
                <w:sz w:val="20"/>
              </w:rPr>
              <w:t xml:space="preserve">7.1 The board of a listed entity should: </w:t>
            </w:r>
          </w:p>
          <w:p w14:paraId="5D096F2C" w14:textId="77777777" w:rsidR="00B40FB2" w:rsidRPr="00126205" w:rsidRDefault="004123C2">
            <w:pPr>
              <w:numPr>
                <w:ilvl w:val="0"/>
                <w:numId w:val="19"/>
              </w:numPr>
              <w:spacing w:after="140" w:line="237" w:lineRule="auto"/>
              <w:ind w:hanging="360"/>
              <w:rPr>
                <w:rFonts w:ascii="IBM Plex Sans Light" w:hAnsi="IBM Plex Sans Light"/>
                <w:b/>
                <w:bCs/>
              </w:rPr>
            </w:pPr>
            <w:r w:rsidRPr="00126205">
              <w:rPr>
                <w:rFonts w:ascii="IBM Plex Sans Light" w:hAnsi="IBM Plex Sans Light"/>
                <w:b/>
                <w:bCs/>
                <w:sz w:val="20"/>
              </w:rPr>
              <w:t xml:space="preserve">have a committee or committees to oversee risk, each of which: </w:t>
            </w:r>
          </w:p>
          <w:p w14:paraId="4DFAE5A4" w14:textId="77777777" w:rsidR="00B40FB2" w:rsidRPr="00126205" w:rsidRDefault="004123C2">
            <w:pPr>
              <w:numPr>
                <w:ilvl w:val="1"/>
                <w:numId w:val="19"/>
              </w:numPr>
              <w:spacing w:after="140" w:line="237" w:lineRule="auto"/>
              <w:ind w:hanging="360"/>
              <w:rPr>
                <w:rFonts w:ascii="IBM Plex Sans Light" w:hAnsi="IBM Plex Sans Light"/>
                <w:b/>
                <w:bCs/>
              </w:rPr>
            </w:pPr>
            <w:r w:rsidRPr="00126205">
              <w:rPr>
                <w:rFonts w:ascii="IBM Plex Sans Light" w:hAnsi="IBM Plex Sans Light"/>
                <w:b/>
                <w:bCs/>
                <w:sz w:val="20"/>
              </w:rPr>
              <w:t xml:space="preserve">has at least three members, a majority of whom are independent directors; and </w:t>
            </w:r>
          </w:p>
          <w:p w14:paraId="2D48ABAE" w14:textId="77777777" w:rsidR="00B40FB2" w:rsidRPr="00126205" w:rsidRDefault="004123C2">
            <w:pPr>
              <w:numPr>
                <w:ilvl w:val="1"/>
                <w:numId w:val="19"/>
              </w:numPr>
              <w:spacing w:after="140" w:line="237" w:lineRule="auto"/>
              <w:ind w:hanging="360"/>
              <w:rPr>
                <w:rFonts w:ascii="IBM Plex Sans Light" w:hAnsi="IBM Plex Sans Light"/>
                <w:b/>
                <w:bCs/>
              </w:rPr>
            </w:pPr>
            <w:r w:rsidRPr="00126205">
              <w:rPr>
                <w:rFonts w:ascii="IBM Plex Sans Light" w:hAnsi="IBM Plex Sans Light"/>
                <w:b/>
                <w:bCs/>
                <w:sz w:val="20"/>
              </w:rPr>
              <w:t xml:space="preserve">is chaired by an independent director, and disclose: </w:t>
            </w:r>
          </w:p>
          <w:p w14:paraId="57EF09A7" w14:textId="77777777" w:rsidR="00B40FB2" w:rsidRPr="00126205" w:rsidRDefault="004123C2">
            <w:pPr>
              <w:numPr>
                <w:ilvl w:val="1"/>
                <w:numId w:val="19"/>
              </w:numPr>
              <w:spacing w:after="117"/>
              <w:ind w:hanging="360"/>
              <w:rPr>
                <w:rFonts w:ascii="IBM Plex Sans Light" w:hAnsi="IBM Plex Sans Light"/>
                <w:b/>
                <w:bCs/>
              </w:rPr>
            </w:pPr>
            <w:r w:rsidRPr="00126205">
              <w:rPr>
                <w:rFonts w:ascii="IBM Plex Sans Light" w:hAnsi="IBM Plex Sans Light"/>
                <w:b/>
                <w:bCs/>
                <w:sz w:val="20"/>
              </w:rPr>
              <w:t xml:space="preserve">the charter of the committee; </w:t>
            </w:r>
          </w:p>
          <w:p w14:paraId="08522489" w14:textId="77777777" w:rsidR="00B40FB2" w:rsidRPr="00126205" w:rsidRDefault="004123C2">
            <w:pPr>
              <w:numPr>
                <w:ilvl w:val="1"/>
                <w:numId w:val="19"/>
              </w:numPr>
              <w:spacing w:after="117"/>
              <w:ind w:hanging="360"/>
              <w:rPr>
                <w:rFonts w:ascii="IBM Plex Sans Light" w:hAnsi="IBM Plex Sans Light"/>
                <w:b/>
                <w:bCs/>
              </w:rPr>
            </w:pPr>
            <w:r w:rsidRPr="00126205">
              <w:rPr>
                <w:rFonts w:ascii="IBM Plex Sans Light" w:hAnsi="IBM Plex Sans Light"/>
                <w:b/>
                <w:bCs/>
                <w:sz w:val="20"/>
              </w:rPr>
              <w:t xml:space="preserve">the members of the committee; and </w:t>
            </w:r>
          </w:p>
          <w:p w14:paraId="52505F94" w14:textId="77777777" w:rsidR="00B40FB2" w:rsidRPr="00126205" w:rsidRDefault="004123C2">
            <w:pPr>
              <w:numPr>
                <w:ilvl w:val="1"/>
                <w:numId w:val="19"/>
              </w:numPr>
              <w:spacing w:after="140" w:line="237" w:lineRule="auto"/>
              <w:ind w:hanging="360"/>
              <w:rPr>
                <w:rFonts w:ascii="IBM Plex Sans Light" w:hAnsi="IBM Plex Sans Light"/>
                <w:b/>
                <w:bCs/>
              </w:rPr>
            </w:pPr>
            <w:r w:rsidRPr="00126205">
              <w:rPr>
                <w:rFonts w:ascii="IBM Plex Sans Light" w:hAnsi="IBM Plex Sans Light"/>
                <w:b/>
                <w:bCs/>
                <w:sz w:val="20"/>
              </w:rPr>
              <w:t xml:space="preserve">as at the end of each reporting period, the number of times the committee met throughout the period and the individual attendances of the members at those meetings; or </w:t>
            </w:r>
          </w:p>
          <w:p w14:paraId="706F995D" w14:textId="77777777" w:rsidR="00B40FB2" w:rsidRPr="00126205" w:rsidRDefault="004123C2">
            <w:pPr>
              <w:numPr>
                <w:ilvl w:val="0"/>
                <w:numId w:val="19"/>
              </w:numPr>
              <w:spacing w:after="0"/>
              <w:ind w:hanging="360"/>
              <w:rPr>
                <w:rFonts w:ascii="IBM Plex Sans Light" w:hAnsi="IBM Plex Sans Light"/>
                <w:b/>
                <w:bCs/>
              </w:rPr>
            </w:pPr>
            <w:r w:rsidRPr="00126205">
              <w:rPr>
                <w:rFonts w:ascii="IBM Plex Sans Light" w:hAnsi="IBM Plex Sans Light"/>
                <w:b/>
                <w:bCs/>
                <w:sz w:val="20"/>
              </w:rPr>
              <w:t xml:space="preserve">if it does not have a risk committee or committees that satisfy (a) above, disclose that fact and the processes it employs for overseeing the entity's risk management framework. </w:t>
            </w:r>
          </w:p>
        </w:tc>
        <w:tc>
          <w:tcPr>
            <w:tcW w:w="9329" w:type="dxa"/>
          </w:tcPr>
          <w:p w14:paraId="045B7482"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The Board is responsible, via the Audit &amp; Risk Committee, for the overall internal control framework, but recognises that no </w:t>
            </w:r>
            <w:proofErr w:type="gramStart"/>
            <w:r w:rsidRPr="00A256D5">
              <w:rPr>
                <w:rFonts w:ascii="IBM Plex Sans" w:hAnsi="IBM Plex Sans"/>
                <w:sz w:val="20"/>
              </w:rPr>
              <w:t>cost effective</w:t>
            </w:r>
            <w:proofErr w:type="gramEnd"/>
            <w:r w:rsidRPr="00A256D5">
              <w:rPr>
                <w:rFonts w:ascii="IBM Plex Sans" w:hAnsi="IBM Plex Sans"/>
                <w:sz w:val="20"/>
              </w:rPr>
              <w:t xml:space="preserve"> internal control system will preclude all errors and irregularities. </w:t>
            </w:r>
          </w:p>
          <w:p w14:paraId="43914C1C" w14:textId="77777777" w:rsidR="00B40FB2" w:rsidRPr="00A256D5" w:rsidRDefault="004123C2">
            <w:pPr>
              <w:spacing w:after="120"/>
              <w:ind w:left="2" w:firstLine="0"/>
              <w:rPr>
                <w:rFonts w:ascii="IBM Plex Sans" w:hAnsi="IBM Plex Sans"/>
              </w:rPr>
            </w:pPr>
            <w:r w:rsidRPr="00A256D5">
              <w:rPr>
                <w:rFonts w:ascii="IBM Plex Sans" w:hAnsi="IBM Plex Sans"/>
                <w:sz w:val="20"/>
              </w:rPr>
              <w:t xml:space="preserve">The committee currently comprises: </w:t>
            </w:r>
          </w:p>
          <w:p w14:paraId="3821A072" w14:textId="77777777" w:rsidR="00B40FB2" w:rsidRPr="00A256D5" w:rsidRDefault="004123C2" w:rsidP="003E359B">
            <w:pPr>
              <w:pStyle w:val="ListParagraph"/>
              <w:numPr>
                <w:ilvl w:val="0"/>
                <w:numId w:val="27"/>
              </w:numPr>
              <w:spacing w:after="0"/>
              <w:rPr>
                <w:rFonts w:ascii="IBM Plex Sans" w:hAnsi="IBM Plex Sans"/>
              </w:rPr>
            </w:pPr>
            <w:r w:rsidRPr="00A256D5">
              <w:rPr>
                <w:rFonts w:ascii="IBM Plex Sans" w:hAnsi="IBM Plex Sans"/>
                <w:sz w:val="20"/>
              </w:rPr>
              <w:t xml:space="preserve">two non-executive independent directors (one of which is the Chair); and </w:t>
            </w:r>
          </w:p>
          <w:p w14:paraId="7D14F9D2" w14:textId="77777777" w:rsidR="00B40FB2" w:rsidRPr="00A256D5" w:rsidRDefault="004123C2" w:rsidP="003E359B">
            <w:pPr>
              <w:pStyle w:val="ListParagraph"/>
              <w:numPr>
                <w:ilvl w:val="0"/>
                <w:numId w:val="27"/>
              </w:numPr>
              <w:spacing w:after="80"/>
              <w:rPr>
                <w:rFonts w:ascii="IBM Plex Sans" w:hAnsi="IBM Plex Sans"/>
              </w:rPr>
            </w:pPr>
            <w:r w:rsidRPr="00A256D5">
              <w:rPr>
                <w:rFonts w:ascii="IBM Plex Sans" w:hAnsi="IBM Plex Sans"/>
                <w:sz w:val="20"/>
              </w:rPr>
              <w:t xml:space="preserve">one non-executive non-independent director. </w:t>
            </w:r>
          </w:p>
          <w:p w14:paraId="28C0E746" w14:textId="77777777" w:rsidR="00B40FB2" w:rsidRPr="00A256D5" w:rsidRDefault="004123C2">
            <w:pPr>
              <w:spacing w:after="120"/>
              <w:ind w:left="2" w:firstLine="0"/>
              <w:rPr>
                <w:rFonts w:ascii="IBM Plex Sans" w:hAnsi="IBM Plex Sans"/>
              </w:rPr>
            </w:pPr>
            <w:r w:rsidRPr="00A256D5">
              <w:rPr>
                <w:rFonts w:ascii="IBM Plex Sans" w:hAnsi="IBM Plex Sans"/>
                <w:sz w:val="20"/>
              </w:rPr>
              <w:t xml:space="preserve">Comprehensive practices have been established to ensure: </w:t>
            </w:r>
          </w:p>
          <w:p w14:paraId="0B75372F" w14:textId="77777777" w:rsidR="00B40FB2" w:rsidRPr="00A256D5" w:rsidRDefault="004123C2" w:rsidP="003E359B">
            <w:pPr>
              <w:pStyle w:val="ListParagraph"/>
              <w:numPr>
                <w:ilvl w:val="0"/>
                <w:numId w:val="26"/>
              </w:numPr>
              <w:spacing w:after="0"/>
              <w:rPr>
                <w:rFonts w:ascii="IBM Plex Sans" w:hAnsi="IBM Plex Sans"/>
              </w:rPr>
            </w:pPr>
            <w:r w:rsidRPr="00A256D5">
              <w:rPr>
                <w:rFonts w:ascii="IBM Plex Sans" w:hAnsi="IBM Plex Sans"/>
                <w:sz w:val="20"/>
              </w:rPr>
              <w:t xml:space="preserve">compliance with professional standards; </w:t>
            </w:r>
          </w:p>
          <w:p w14:paraId="2AD2B5E1" w14:textId="77777777" w:rsidR="00B40FB2" w:rsidRPr="00A256D5" w:rsidRDefault="004123C2" w:rsidP="003E359B">
            <w:pPr>
              <w:pStyle w:val="ListParagraph"/>
              <w:numPr>
                <w:ilvl w:val="0"/>
                <w:numId w:val="26"/>
              </w:numPr>
              <w:spacing w:after="0"/>
              <w:rPr>
                <w:rFonts w:ascii="IBM Plex Sans" w:hAnsi="IBM Plex Sans"/>
              </w:rPr>
            </w:pPr>
            <w:r w:rsidRPr="00A256D5">
              <w:rPr>
                <w:rFonts w:ascii="IBM Plex Sans" w:hAnsi="IBM Plex Sans"/>
                <w:sz w:val="20"/>
              </w:rPr>
              <w:t xml:space="preserve">capital expenditure and revenue commitments above a certain size obtain prior board approval; </w:t>
            </w:r>
          </w:p>
          <w:p w14:paraId="70984E3B" w14:textId="77777777" w:rsidR="00B40FB2" w:rsidRPr="00A256D5" w:rsidRDefault="004123C2" w:rsidP="003E359B">
            <w:pPr>
              <w:pStyle w:val="ListParagraph"/>
              <w:numPr>
                <w:ilvl w:val="0"/>
                <w:numId w:val="26"/>
              </w:numPr>
              <w:spacing w:after="19" w:line="243" w:lineRule="auto"/>
              <w:rPr>
                <w:rFonts w:ascii="IBM Plex Sans" w:hAnsi="IBM Plex Sans"/>
              </w:rPr>
            </w:pPr>
            <w:r w:rsidRPr="00A256D5">
              <w:rPr>
                <w:rFonts w:ascii="IBM Plex Sans" w:hAnsi="IBM Plex Sans"/>
                <w:sz w:val="20"/>
              </w:rPr>
              <w:t xml:space="preserve">occupational health and safety standards and management systems are monitored and reviewed to achieve high standards of performance and compliance with regulations; </w:t>
            </w:r>
          </w:p>
          <w:p w14:paraId="1DFE10F1" w14:textId="77777777" w:rsidR="00B40FB2" w:rsidRPr="00A256D5" w:rsidRDefault="004123C2" w:rsidP="003E359B">
            <w:pPr>
              <w:pStyle w:val="ListParagraph"/>
              <w:numPr>
                <w:ilvl w:val="0"/>
                <w:numId w:val="26"/>
              </w:numPr>
              <w:spacing w:after="0"/>
              <w:rPr>
                <w:rFonts w:ascii="IBM Plex Sans" w:hAnsi="IBM Plex Sans"/>
              </w:rPr>
            </w:pPr>
            <w:r w:rsidRPr="00A256D5">
              <w:rPr>
                <w:rFonts w:ascii="IBM Plex Sans" w:hAnsi="IBM Plex Sans"/>
                <w:sz w:val="20"/>
              </w:rPr>
              <w:t xml:space="preserve">business transactions are properly authorised and executed; </w:t>
            </w:r>
          </w:p>
          <w:p w14:paraId="36DCA96B" w14:textId="77777777" w:rsidR="00B40FB2" w:rsidRPr="00A256D5" w:rsidRDefault="004123C2" w:rsidP="003E359B">
            <w:pPr>
              <w:pStyle w:val="ListParagraph"/>
              <w:numPr>
                <w:ilvl w:val="0"/>
                <w:numId w:val="26"/>
              </w:numPr>
              <w:spacing w:after="0"/>
              <w:rPr>
                <w:rFonts w:ascii="IBM Plex Sans" w:hAnsi="IBM Plex Sans"/>
              </w:rPr>
            </w:pPr>
            <w:r w:rsidRPr="00A256D5">
              <w:rPr>
                <w:rFonts w:ascii="IBM Plex Sans" w:hAnsi="IBM Plex Sans"/>
                <w:sz w:val="20"/>
              </w:rPr>
              <w:t xml:space="preserve">financial reporting accuracy and compliance with the financial reporting regulatory framework;  </w:t>
            </w:r>
          </w:p>
          <w:p w14:paraId="13BB67F2" w14:textId="1A629D92" w:rsidR="00126205" w:rsidRPr="00A256D5" w:rsidRDefault="004123C2" w:rsidP="003E359B">
            <w:pPr>
              <w:pStyle w:val="ListParagraph"/>
              <w:numPr>
                <w:ilvl w:val="0"/>
                <w:numId w:val="26"/>
              </w:numPr>
              <w:spacing w:after="95" w:line="245" w:lineRule="auto"/>
              <w:rPr>
                <w:rFonts w:ascii="IBM Plex Sans" w:hAnsi="IBM Plex Sans"/>
              </w:rPr>
            </w:pPr>
            <w:r w:rsidRPr="00A256D5">
              <w:rPr>
                <w:rFonts w:ascii="IBM Plex Sans" w:hAnsi="IBM Plex Sans"/>
                <w:sz w:val="20"/>
              </w:rPr>
              <w:t xml:space="preserve">environmental regulation compliance; and </w:t>
            </w:r>
          </w:p>
          <w:p w14:paraId="4A5C4CBB" w14:textId="0C577F4D" w:rsidR="00B40FB2" w:rsidRPr="00A256D5" w:rsidRDefault="004123C2" w:rsidP="003E359B">
            <w:pPr>
              <w:pStyle w:val="ListParagraph"/>
              <w:numPr>
                <w:ilvl w:val="0"/>
                <w:numId w:val="26"/>
              </w:numPr>
              <w:spacing w:after="95" w:line="245" w:lineRule="auto"/>
              <w:rPr>
                <w:rFonts w:ascii="IBM Plex Sans" w:hAnsi="IBM Plex Sans"/>
              </w:rPr>
            </w:pPr>
            <w:r w:rsidRPr="00A256D5">
              <w:rPr>
                <w:rFonts w:ascii="IBM Plex Sans" w:hAnsi="IBM Plex Sans"/>
                <w:sz w:val="20"/>
              </w:rPr>
              <w:t xml:space="preserve">technology and privacy risks are mitigated. </w:t>
            </w:r>
          </w:p>
          <w:p w14:paraId="51F87A20" w14:textId="77777777" w:rsidR="00B40FB2" w:rsidRPr="00A256D5" w:rsidRDefault="004123C2">
            <w:pPr>
              <w:spacing w:after="0" w:line="237" w:lineRule="auto"/>
              <w:ind w:left="2" w:firstLine="0"/>
              <w:rPr>
                <w:rFonts w:ascii="IBM Plex Sans" w:hAnsi="IBM Plex Sans"/>
              </w:rPr>
            </w:pPr>
            <w:r w:rsidRPr="00A256D5">
              <w:rPr>
                <w:rFonts w:ascii="IBM Plex Sans" w:hAnsi="IBM Plex Sans"/>
                <w:sz w:val="20"/>
              </w:rPr>
              <w:t xml:space="preserve">Management has established and implemented a comprehensive formal Risk Management System for assessing, monitoring and managing operational, financial reporting and compliance risks for the </w:t>
            </w:r>
          </w:p>
          <w:p w14:paraId="4471EF72" w14:textId="77777777"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 xml:space="preserve">Company. The Chief Executive Officer and the Chief Financial Officer declare annually, in writing to the Board, that the financial reporting risk management and associated compliance and controls have been assessed and found to be operating efficiently and effectively in all material respects. </w:t>
            </w:r>
          </w:p>
          <w:p w14:paraId="61FBCFBD" w14:textId="60828A0B" w:rsidR="00B40FB2" w:rsidRPr="00A256D5" w:rsidRDefault="004123C2">
            <w:pPr>
              <w:spacing w:after="120" w:line="237" w:lineRule="auto"/>
              <w:ind w:left="2" w:firstLine="0"/>
              <w:rPr>
                <w:rFonts w:ascii="IBM Plex Sans" w:hAnsi="IBM Plex Sans"/>
              </w:rPr>
            </w:pPr>
            <w:r w:rsidRPr="00A256D5">
              <w:rPr>
                <w:rFonts w:ascii="IBM Plex Sans" w:hAnsi="IBM Plex Sans"/>
                <w:sz w:val="20"/>
              </w:rPr>
              <w:t>The Company’s</w:t>
            </w:r>
            <w:hyperlink r:id="rId50">
              <w:r w:rsidRPr="00A256D5">
                <w:rPr>
                  <w:rFonts w:ascii="IBM Plex Sans" w:hAnsi="IBM Plex Sans"/>
                  <w:color w:val="0000FF"/>
                  <w:sz w:val="20"/>
                  <w:u w:val="single" w:color="0000FF"/>
                </w:rPr>
                <w:t xml:space="preserve"> </w:t>
              </w:r>
            </w:hyperlink>
            <w:hyperlink r:id="rId51">
              <w:r w:rsidRPr="00A256D5">
                <w:rPr>
                  <w:rFonts w:ascii="IBM Plex Sans" w:hAnsi="IBM Plex Sans"/>
                  <w:color w:val="0000FF"/>
                  <w:sz w:val="20"/>
                  <w:u w:val="single" w:color="0000FF"/>
                </w:rPr>
                <w:t>Audit and Risk Committee Charter</w:t>
              </w:r>
            </w:hyperlink>
            <w:hyperlink r:id="rId52">
              <w:r w:rsidRPr="00A256D5">
                <w:rPr>
                  <w:rFonts w:ascii="IBM Plex Sans" w:hAnsi="IBM Plex Sans"/>
                  <w:sz w:val="20"/>
                </w:rPr>
                <w:t xml:space="preserve"> </w:t>
              </w:r>
            </w:hyperlink>
            <w:r w:rsidRPr="00A256D5">
              <w:rPr>
                <w:rFonts w:ascii="IBM Plex Sans" w:hAnsi="IBM Plex Sans"/>
                <w:sz w:val="20"/>
              </w:rPr>
              <w:t xml:space="preserve">is located on the </w:t>
            </w:r>
            <w:r w:rsidR="00BA705D" w:rsidRPr="00A256D5">
              <w:rPr>
                <w:rFonts w:ascii="IBM Plex Sans" w:hAnsi="IBM Plex Sans"/>
                <w:sz w:val="20"/>
              </w:rPr>
              <w:t>A</w:t>
            </w:r>
            <w:r w:rsidR="001B3643" w:rsidRPr="00A256D5">
              <w:rPr>
                <w:rFonts w:ascii="IBM Plex Sans" w:hAnsi="IBM Plex Sans"/>
                <w:sz w:val="20"/>
              </w:rPr>
              <w:t>cumentis</w:t>
            </w:r>
            <w:r w:rsidRPr="00A256D5">
              <w:rPr>
                <w:rFonts w:ascii="IBM Plex Sans" w:hAnsi="IBM Plex Sans"/>
                <w:sz w:val="20"/>
              </w:rPr>
              <w:t xml:space="preserve"> website. The committee meets at least twice a year.  </w:t>
            </w:r>
          </w:p>
          <w:p w14:paraId="145D7202" w14:textId="77777777" w:rsidR="00B40FB2" w:rsidRPr="00126205" w:rsidRDefault="004123C2">
            <w:pPr>
              <w:spacing w:after="0"/>
              <w:ind w:left="2" w:firstLine="0"/>
              <w:rPr>
                <w:rFonts w:ascii="IBM Plex Sans Light" w:hAnsi="IBM Plex Sans Light"/>
              </w:rPr>
            </w:pPr>
            <w:r w:rsidRPr="00126205">
              <w:rPr>
                <w:rFonts w:ascii="IBM Plex Sans Light" w:hAnsi="IBM Plex Sans Light"/>
                <w:sz w:val="20"/>
              </w:rPr>
              <w:t xml:space="preserve"> </w:t>
            </w:r>
          </w:p>
        </w:tc>
      </w:tr>
      <w:tr w:rsidR="00B40FB2" w:rsidRPr="00595F31" w14:paraId="63FC3F9A" w14:textId="77777777" w:rsidTr="003E359B">
        <w:trPr>
          <w:trHeight w:val="1929"/>
        </w:trPr>
        <w:tc>
          <w:tcPr>
            <w:tcW w:w="4705" w:type="dxa"/>
          </w:tcPr>
          <w:p w14:paraId="6916335E" w14:textId="77777777" w:rsidR="00B40FB2" w:rsidRPr="00126205" w:rsidRDefault="004123C2">
            <w:pPr>
              <w:spacing w:after="117"/>
              <w:ind w:left="0" w:firstLine="0"/>
              <w:rPr>
                <w:rFonts w:ascii="IBM Plex Sans Light" w:hAnsi="IBM Plex Sans Light"/>
                <w:b/>
                <w:bCs/>
              </w:rPr>
            </w:pPr>
            <w:r w:rsidRPr="00126205">
              <w:rPr>
                <w:rFonts w:ascii="IBM Plex Sans Light" w:hAnsi="IBM Plex Sans Light"/>
                <w:b/>
                <w:bCs/>
                <w:sz w:val="20"/>
              </w:rPr>
              <w:lastRenderedPageBreak/>
              <w:t xml:space="preserve">7.2 The board or a committee of the board should: </w:t>
            </w:r>
          </w:p>
          <w:p w14:paraId="13BD7B30" w14:textId="77777777" w:rsidR="00B40FB2" w:rsidRPr="00126205" w:rsidRDefault="004123C2">
            <w:pPr>
              <w:numPr>
                <w:ilvl w:val="0"/>
                <w:numId w:val="21"/>
              </w:numPr>
              <w:spacing w:after="0"/>
              <w:ind w:hanging="360"/>
              <w:rPr>
                <w:rFonts w:ascii="IBM Plex Sans Light" w:hAnsi="IBM Plex Sans Light"/>
                <w:b/>
                <w:bCs/>
              </w:rPr>
            </w:pPr>
            <w:r w:rsidRPr="00126205">
              <w:rPr>
                <w:rFonts w:ascii="IBM Plex Sans Light" w:hAnsi="IBM Plex Sans Light"/>
                <w:b/>
                <w:bCs/>
                <w:sz w:val="20"/>
              </w:rPr>
              <w:t xml:space="preserve">review the entity's risk management framework </w:t>
            </w:r>
          </w:p>
          <w:p w14:paraId="672B9256" w14:textId="77777777" w:rsidR="00B40FB2" w:rsidRPr="00126205" w:rsidRDefault="004123C2">
            <w:pPr>
              <w:spacing w:after="140" w:line="237" w:lineRule="auto"/>
              <w:ind w:left="360" w:firstLine="0"/>
              <w:rPr>
                <w:rFonts w:ascii="IBM Plex Sans Light" w:hAnsi="IBM Plex Sans Light"/>
                <w:b/>
                <w:bCs/>
              </w:rPr>
            </w:pPr>
            <w:r w:rsidRPr="00126205">
              <w:rPr>
                <w:rFonts w:ascii="IBM Plex Sans Light" w:hAnsi="IBM Plex Sans Light"/>
                <w:b/>
                <w:bCs/>
                <w:sz w:val="20"/>
              </w:rPr>
              <w:t xml:space="preserve">at least annually to satisfy itself that it continues to be sound; and </w:t>
            </w:r>
          </w:p>
          <w:p w14:paraId="0D99EC66" w14:textId="77777777" w:rsidR="00B40FB2" w:rsidRPr="00126205" w:rsidRDefault="004123C2">
            <w:pPr>
              <w:numPr>
                <w:ilvl w:val="0"/>
                <w:numId w:val="21"/>
              </w:numPr>
              <w:spacing w:after="0"/>
              <w:ind w:hanging="360"/>
              <w:rPr>
                <w:rFonts w:ascii="IBM Plex Sans Light" w:hAnsi="IBM Plex Sans Light"/>
                <w:b/>
                <w:bCs/>
              </w:rPr>
            </w:pPr>
            <w:r w:rsidRPr="00126205">
              <w:rPr>
                <w:rFonts w:ascii="IBM Plex Sans Light" w:hAnsi="IBM Plex Sans Light"/>
                <w:b/>
                <w:bCs/>
                <w:sz w:val="20"/>
              </w:rPr>
              <w:t xml:space="preserve">disclose, in relation to each reporting period, whether such a review has taken place. </w:t>
            </w:r>
          </w:p>
        </w:tc>
        <w:tc>
          <w:tcPr>
            <w:tcW w:w="9329" w:type="dxa"/>
          </w:tcPr>
          <w:p w14:paraId="650EC1E5"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Audit &amp; Risk Committee reviews the effectiveness of the Company's risk management framework </w:t>
            </w:r>
          </w:p>
          <w:p w14:paraId="02315AEB" w14:textId="77777777" w:rsidR="00B40FB2" w:rsidRPr="00A256D5" w:rsidRDefault="004123C2">
            <w:pPr>
              <w:spacing w:after="120" w:line="237" w:lineRule="auto"/>
              <w:ind w:left="2" w:right="9" w:firstLine="0"/>
              <w:rPr>
                <w:rFonts w:ascii="IBM Plex Sans" w:hAnsi="IBM Plex Sans"/>
                <w:sz w:val="20"/>
                <w:szCs w:val="20"/>
              </w:rPr>
            </w:pPr>
            <w:r w:rsidRPr="00A256D5">
              <w:rPr>
                <w:rFonts w:ascii="IBM Plex Sans" w:hAnsi="IBM Plex Sans"/>
                <w:sz w:val="20"/>
                <w:szCs w:val="20"/>
              </w:rPr>
              <w:t xml:space="preserve">annually and reviews the key risks and mitigating strategies on a regular basis.  A review of the Company's risk management framework was undertaken during the 2018 financial year. </w:t>
            </w:r>
          </w:p>
          <w:p w14:paraId="3A798BFD"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 </w:t>
            </w:r>
          </w:p>
        </w:tc>
      </w:tr>
      <w:tr w:rsidR="00B40FB2" w:rsidRPr="00595F31" w14:paraId="34AC42C9" w14:textId="77777777" w:rsidTr="003E359B">
        <w:trPr>
          <w:trHeight w:val="2650"/>
        </w:trPr>
        <w:tc>
          <w:tcPr>
            <w:tcW w:w="4705" w:type="dxa"/>
          </w:tcPr>
          <w:p w14:paraId="5F20EDDB" w14:textId="77777777" w:rsidR="00B40FB2" w:rsidRPr="00126205" w:rsidRDefault="004123C2">
            <w:pPr>
              <w:spacing w:after="117"/>
              <w:ind w:left="0" w:firstLine="0"/>
              <w:rPr>
                <w:rFonts w:ascii="IBM Plex Sans Light" w:hAnsi="IBM Plex Sans Light"/>
                <w:b/>
                <w:bCs/>
              </w:rPr>
            </w:pPr>
            <w:r w:rsidRPr="00126205">
              <w:rPr>
                <w:rFonts w:ascii="IBM Plex Sans Light" w:hAnsi="IBM Plex Sans Light"/>
                <w:b/>
                <w:bCs/>
                <w:sz w:val="20"/>
              </w:rPr>
              <w:t xml:space="preserve">7.3 A listed entity should disclose: </w:t>
            </w:r>
          </w:p>
          <w:p w14:paraId="0D51CE84" w14:textId="77777777" w:rsidR="00B40FB2" w:rsidRPr="00126205" w:rsidRDefault="004123C2">
            <w:pPr>
              <w:numPr>
                <w:ilvl w:val="0"/>
                <w:numId w:val="22"/>
              </w:numPr>
              <w:spacing w:after="140" w:line="237" w:lineRule="auto"/>
              <w:ind w:hanging="360"/>
              <w:rPr>
                <w:rFonts w:ascii="IBM Plex Sans Light" w:hAnsi="IBM Plex Sans Light"/>
                <w:b/>
                <w:bCs/>
              </w:rPr>
            </w:pPr>
            <w:r w:rsidRPr="00126205">
              <w:rPr>
                <w:rFonts w:ascii="IBM Plex Sans Light" w:hAnsi="IBM Plex Sans Light"/>
                <w:b/>
                <w:bCs/>
                <w:sz w:val="20"/>
              </w:rPr>
              <w:t xml:space="preserve">if it has an internal audit function, how the function is structured and what role it performs; or </w:t>
            </w:r>
          </w:p>
          <w:p w14:paraId="166C5D45" w14:textId="77777777" w:rsidR="00B40FB2" w:rsidRPr="00126205" w:rsidRDefault="004123C2">
            <w:pPr>
              <w:numPr>
                <w:ilvl w:val="0"/>
                <w:numId w:val="22"/>
              </w:numPr>
              <w:spacing w:after="0"/>
              <w:ind w:hanging="360"/>
              <w:rPr>
                <w:rFonts w:ascii="IBM Plex Sans Light" w:hAnsi="IBM Plex Sans Light"/>
                <w:b/>
                <w:bCs/>
              </w:rPr>
            </w:pPr>
            <w:r w:rsidRPr="00126205">
              <w:rPr>
                <w:rFonts w:ascii="IBM Plex Sans Light" w:hAnsi="IBM Plex Sans Light"/>
                <w:b/>
                <w:bCs/>
                <w:sz w:val="20"/>
              </w:rPr>
              <w:t xml:space="preserve">if it does not have an internal audit function, that fact and the processes it employs for evaluating and continually improving the effectiveness of its risk management and internal control processes. </w:t>
            </w:r>
          </w:p>
        </w:tc>
        <w:tc>
          <w:tcPr>
            <w:tcW w:w="9329" w:type="dxa"/>
          </w:tcPr>
          <w:p w14:paraId="5642E633" w14:textId="77777777" w:rsidR="00B40FB2" w:rsidRPr="00A256D5" w:rsidRDefault="004123C2">
            <w:pPr>
              <w:spacing w:after="120" w:line="237" w:lineRule="auto"/>
              <w:ind w:left="2" w:firstLine="0"/>
              <w:rPr>
                <w:rFonts w:ascii="IBM Plex Sans" w:hAnsi="IBM Plex Sans"/>
                <w:sz w:val="20"/>
                <w:szCs w:val="20"/>
              </w:rPr>
            </w:pPr>
            <w:r w:rsidRPr="00A256D5">
              <w:rPr>
                <w:rFonts w:ascii="IBM Plex Sans" w:hAnsi="IBM Plex Sans"/>
                <w:sz w:val="20"/>
                <w:szCs w:val="20"/>
              </w:rPr>
              <w:t xml:space="preserve">The Company does not currently have an internal audit function. However, the external auditors assess internal controls in place and provide recommendations to management. Furthermore, a Risk Manager is employed to ensure proper risk management procedures are adhered to for valuations and that appropriate risk education occurs. There is also a Valuation Risk Committee which reports monthly to the CEO.   </w:t>
            </w:r>
          </w:p>
          <w:p w14:paraId="5F860CF7"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Company maintains a Risk Register identifying key risks, likelihood of occurrence and impact of occurrence.  These risks are then reviewed to ensure appropriate mitigating controls are put in place.  The Risk Register is reviewed by the Audit &amp; Risk Committee at every meeting and by the full Board at least annually. </w:t>
            </w:r>
          </w:p>
        </w:tc>
      </w:tr>
      <w:tr w:rsidR="00B40FB2" w:rsidRPr="00595F31" w14:paraId="17729EAA" w14:textId="77777777" w:rsidTr="003E359B">
        <w:trPr>
          <w:trHeight w:val="2049"/>
        </w:trPr>
        <w:tc>
          <w:tcPr>
            <w:tcW w:w="4705" w:type="dxa"/>
          </w:tcPr>
          <w:p w14:paraId="4F8AF7CE" w14:textId="77777777" w:rsidR="00B40FB2" w:rsidRPr="00126205" w:rsidRDefault="004123C2">
            <w:pPr>
              <w:spacing w:after="120" w:line="237" w:lineRule="auto"/>
              <w:ind w:left="360" w:hanging="360"/>
              <w:rPr>
                <w:rFonts w:ascii="IBM Plex Sans Light" w:hAnsi="IBM Plex Sans Light"/>
                <w:b/>
                <w:bCs/>
              </w:rPr>
            </w:pPr>
            <w:r w:rsidRPr="00126205">
              <w:rPr>
                <w:rFonts w:ascii="IBM Plex Sans Light" w:hAnsi="IBM Plex Sans Light"/>
                <w:b/>
                <w:bCs/>
                <w:sz w:val="20"/>
              </w:rPr>
              <w:t xml:space="preserve">7.4 A listed entity should disclose whether it has any material exposure to economic, environmental and social sustainability risks and, if it does, how it manages or intends to manage those risks. </w:t>
            </w:r>
          </w:p>
          <w:p w14:paraId="21516B0F" w14:textId="77777777" w:rsidR="00B40FB2" w:rsidRPr="00126205" w:rsidRDefault="004123C2">
            <w:pPr>
              <w:spacing w:after="0"/>
              <w:ind w:left="0" w:firstLine="0"/>
              <w:rPr>
                <w:rFonts w:ascii="IBM Plex Sans Light" w:hAnsi="IBM Plex Sans Light"/>
                <w:b/>
                <w:bCs/>
              </w:rPr>
            </w:pPr>
            <w:r w:rsidRPr="00126205">
              <w:rPr>
                <w:rFonts w:ascii="IBM Plex Sans Light" w:hAnsi="IBM Plex Sans Light"/>
                <w:b/>
                <w:bCs/>
                <w:sz w:val="20"/>
              </w:rPr>
              <w:t xml:space="preserve"> </w:t>
            </w:r>
          </w:p>
        </w:tc>
        <w:tc>
          <w:tcPr>
            <w:tcW w:w="9329" w:type="dxa"/>
          </w:tcPr>
          <w:p w14:paraId="4B84F464" w14:textId="3A6E3D55" w:rsidR="00B40FB2" w:rsidRPr="00A256D5" w:rsidRDefault="00BA705D">
            <w:pPr>
              <w:spacing w:after="120" w:line="237" w:lineRule="auto"/>
              <w:ind w:left="2" w:firstLine="0"/>
              <w:rPr>
                <w:rFonts w:ascii="IBM Plex Sans" w:hAnsi="IBM Plex Sans"/>
                <w:sz w:val="20"/>
                <w:szCs w:val="20"/>
              </w:rPr>
            </w:pPr>
            <w:r w:rsidRPr="00A256D5">
              <w:rPr>
                <w:rFonts w:ascii="IBM Plex Sans" w:hAnsi="IBM Plex Sans"/>
                <w:sz w:val="20"/>
                <w:szCs w:val="20"/>
              </w:rPr>
              <w:t>A</w:t>
            </w:r>
            <w:r w:rsidR="001B3643" w:rsidRPr="00A256D5">
              <w:rPr>
                <w:rFonts w:ascii="IBM Plex Sans" w:hAnsi="IBM Plex Sans"/>
                <w:sz w:val="20"/>
                <w:szCs w:val="20"/>
              </w:rPr>
              <w:t>cumentis</w:t>
            </w:r>
            <w:r w:rsidR="004123C2" w:rsidRPr="00A256D5">
              <w:rPr>
                <w:rFonts w:ascii="IBM Plex Sans" w:hAnsi="IBM Plex Sans"/>
                <w:sz w:val="20"/>
                <w:szCs w:val="20"/>
              </w:rPr>
              <w:t xml:space="preserve"> conducted a materiality assessment of environmental, social and governance (ESG) issues of potential importance to its business, directly and indirectly via its stakeholders. This enabled the establishment of an ESG management process to ensure that </w:t>
            </w:r>
            <w:r w:rsidRPr="00A256D5">
              <w:rPr>
                <w:rFonts w:ascii="IBM Plex Sans" w:hAnsi="IBM Plex Sans"/>
                <w:sz w:val="20"/>
                <w:szCs w:val="20"/>
              </w:rPr>
              <w:t>A</w:t>
            </w:r>
            <w:r w:rsidR="001B3643" w:rsidRPr="00A256D5">
              <w:rPr>
                <w:rFonts w:ascii="IBM Plex Sans" w:hAnsi="IBM Plex Sans"/>
                <w:sz w:val="20"/>
                <w:szCs w:val="20"/>
              </w:rPr>
              <w:t>cumentis</w:t>
            </w:r>
            <w:r w:rsidR="004123C2" w:rsidRPr="00A256D5">
              <w:rPr>
                <w:rFonts w:ascii="IBM Plex Sans" w:hAnsi="IBM Plex Sans"/>
                <w:sz w:val="20"/>
                <w:szCs w:val="20"/>
              </w:rPr>
              <w:t xml:space="preserve"> is effectively identifying and managing material ESG risks and can demonstrate this to its investors and customers.</w:t>
            </w:r>
            <w:r w:rsidR="004123C2" w:rsidRPr="00A256D5">
              <w:rPr>
                <w:rFonts w:ascii="IBM Plex Sans" w:hAnsi="IBM Plex Sans"/>
                <w:color w:val="3BA2A1"/>
                <w:sz w:val="20"/>
                <w:szCs w:val="20"/>
              </w:rPr>
              <w:t xml:space="preserve">  </w:t>
            </w:r>
          </w:p>
          <w:p w14:paraId="46A08748" w14:textId="12491FF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Company has a </w:t>
            </w:r>
            <w:hyperlink r:id="rId53">
              <w:r w:rsidRPr="00A256D5">
                <w:rPr>
                  <w:rFonts w:ascii="IBM Plex Sans" w:hAnsi="IBM Plex Sans"/>
                  <w:color w:val="0000FF"/>
                  <w:sz w:val="20"/>
                  <w:szCs w:val="20"/>
                  <w:u w:val="single" w:color="0000FF"/>
                </w:rPr>
                <w:t>Corporate Social Responsibility</w:t>
              </w:r>
            </w:hyperlink>
            <w:hyperlink r:id="rId54">
              <w:r w:rsidRPr="00A256D5">
                <w:rPr>
                  <w:rFonts w:ascii="IBM Plex Sans" w:hAnsi="IBM Plex Sans"/>
                  <w:sz w:val="20"/>
                  <w:szCs w:val="20"/>
                </w:rPr>
                <w:t xml:space="preserve"> </w:t>
              </w:r>
            </w:hyperlink>
            <w:r w:rsidRPr="00A256D5">
              <w:rPr>
                <w:rFonts w:ascii="IBM Plex Sans" w:hAnsi="IBM Plex Sans"/>
                <w:sz w:val="20"/>
                <w:szCs w:val="20"/>
              </w:rPr>
              <w:t xml:space="preserve">policy which addresses employee attractiveness, being progressive in relation to green buildings as well as identifying ways to be industry shaping and community caring. The policy is located on the </w:t>
            </w:r>
            <w:r w:rsidR="001B3643" w:rsidRPr="00A256D5">
              <w:rPr>
                <w:rFonts w:ascii="IBM Plex Sans" w:hAnsi="IBM Plex Sans"/>
                <w:sz w:val="20"/>
                <w:szCs w:val="20"/>
              </w:rPr>
              <w:t>Acumentis website.</w:t>
            </w:r>
            <w:r w:rsidRPr="00A256D5">
              <w:rPr>
                <w:rFonts w:ascii="IBM Plex Sans" w:hAnsi="IBM Plex Sans"/>
                <w:sz w:val="20"/>
                <w:szCs w:val="20"/>
              </w:rPr>
              <w:t xml:space="preserve"> </w:t>
            </w:r>
          </w:p>
        </w:tc>
      </w:tr>
    </w:tbl>
    <w:p w14:paraId="233D9A81" w14:textId="77777777" w:rsidR="00595F31" w:rsidRDefault="004123C2">
      <w:pPr>
        <w:spacing w:after="0"/>
        <w:ind w:left="0" w:firstLine="0"/>
        <w:jc w:val="both"/>
        <w:rPr>
          <w:rFonts w:ascii="Lato" w:hAnsi="Lato"/>
          <w:sz w:val="20"/>
        </w:rPr>
      </w:pPr>
      <w:r w:rsidRPr="00595F31">
        <w:rPr>
          <w:rFonts w:ascii="Lato" w:hAnsi="Lato"/>
          <w:sz w:val="20"/>
        </w:rPr>
        <w:t xml:space="preserve"> </w:t>
      </w:r>
      <w:r w:rsidRPr="00595F31">
        <w:rPr>
          <w:rFonts w:ascii="Lato" w:hAnsi="Lato"/>
          <w:sz w:val="20"/>
        </w:rPr>
        <w:tab/>
        <w:t xml:space="preserve"> </w:t>
      </w:r>
    </w:p>
    <w:p w14:paraId="45529261" w14:textId="5521B180" w:rsidR="00B40FB2" w:rsidRPr="003E359B" w:rsidRDefault="00595F31" w:rsidP="003E359B">
      <w:pPr>
        <w:spacing w:after="160"/>
        <w:ind w:left="0" w:firstLine="0"/>
        <w:rPr>
          <w:rFonts w:ascii="Lato" w:hAnsi="Lato"/>
          <w:sz w:val="20"/>
        </w:rPr>
      </w:pPr>
      <w:r>
        <w:rPr>
          <w:rFonts w:ascii="Lato" w:hAnsi="Lato"/>
          <w:sz w:val="20"/>
        </w:rPr>
        <w:br w:type="page"/>
      </w:r>
    </w:p>
    <w:p w14:paraId="0BC65F72" w14:textId="77777777" w:rsidR="00B40FB2" w:rsidRPr="00595F31" w:rsidRDefault="00B40FB2">
      <w:pPr>
        <w:spacing w:after="0"/>
        <w:ind w:left="-1440" w:right="15465" w:firstLine="0"/>
        <w:rPr>
          <w:rFonts w:ascii="Lato" w:hAnsi="Lato"/>
        </w:rPr>
      </w:pPr>
    </w:p>
    <w:tbl>
      <w:tblPr>
        <w:tblStyle w:val="TableGrid"/>
        <w:tblW w:w="14034" w:type="dxa"/>
        <w:tblInd w:w="6" w:type="dxa"/>
        <w:tblLook w:val="04A0" w:firstRow="1" w:lastRow="0" w:firstColumn="1" w:lastColumn="0" w:noHBand="0" w:noVBand="1"/>
      </w:tblPr>
      <w:tblGrid>
        <w:gridCol w:w="4705"/>
        <w:gridCol w:w="9329"/>
      </w:tblGrid>
      <w:tr w:rsidR="00B40FB2" w:rsidRPr="003E359B" w14:paraId="7304AD79" w14:textId="77777777" w:rsidTr="003E359B">
        <w:trPr>
          <w:trHeight w:val="538"/>
        </w:trPr>
        <w:tc>
          <w:tcPr>
            <w:tcW w:w="14034" w:type="dxa"/>
            <w:gridSpan w:val="2"/>
            <w:shd w:val="clear" w:color="auto" w:fill="15420C"/>
          </w:tcPr>
          <w:p w14:paraId="54484179" w14:textId="77777777" w:rsidR="00B40FB2" w:rsidRPr="003E359B" w:rsidRDefault="004123C2">
            <w:pPr>
              <w:spacing w:after="0"/>
              <w:ind w:left="0" w:firstLine="0"/>
              <w:rPr>
                <w:rFonts w:ascii="IBM Plex Serif Text" w:hAnsi="IBM Plex Serif Text"/>
              </w:rPr>
            </w:pPr>
            <w:r w:rsidRPr="003E359B">
              <w:rPr>
                <w:rFonts w:ascii="IBM Plex Serif Text" w:hAnsi="IBM Plex Serif Text"/>
                <w:color w:val="FFFFFF"/>
                <w:sz w:val="24"/>
              </w:rPr>
              <w:t>8.</w:t>
            </w:r>
            <w:r w:rsidRPr="003E359B">
              <w:rPr>
                <w:rFonts w:ascii="IBM Plex Serif Text" w:eastAsia="Arial" w:hAnsi="IBM Plex Serif Text" w:cs="Arial"/>
                <w:b/>
                <w:color w:val="FFFFFF"/>
                <w:sz w:val="24"/>
              </w:rPr>
              <w:t xml:space="preserve"> </w:t>
            </w:r>
            <w:r w:rsidRPr="003E359B">
              <w:rPr>
                <w:rFonts w:ascii="IBM Plex Serif Text" w:hAnsi="IBM Plex Serif Text"/>
                <w:color w:val="FFFFFF"/>
                <w:sz w:val="24"/>
              </w:rPr>
              <w:t>REMUNERATE FAIRLY AND RESPONSIBLY</w:t>
            </w:r>
            <w:r w:rsidRPr="003E359B">
              <w:rPr>
                <w:rFonts w:ascii="IBM Plex Serif Text" w:hAnsi="IBM Plex Serif Text"/>
                <w:color w:val="FFFFFF"/>
                <w:sz w:val="20"/>
              </w:rPr>
              <w:t xml:space="preserve"> </w:t>
            </w:r>
          </w:p>
        </w:tc>
      </w:tr>
      <w:tr w:rsidR="00B40FB2" w:rsidRPr="003E359B" w14:paraId="36B2E851" w14:textId="77777777" w:rsidTr="003E359B">
        <w:trPr>
          <w:trHeight w:val="5651"/>
        </w:trPr>
        <w:tc>
          <w:tcPr>
            <w:tcW w:w="4705" w:type="dxa"/>
          </w:tcPr>
          <w:p w14:paraId="157FF817" w14:textId="77777777" w:rsidR="00B40FB2" w:rsidRPr="003E359B" w:rsidRDefault="004123C2">
            <w:pPr>
              <w:spacing w:after="117"/>
              <w:ind w:left="0" w:firstLine="0"/>
              <w:rPr>
                <w:rFonts w:ascii="IBM Plex Sans Light" w:hAnsi="IBM Plex Sans Light"/>
                <w:b/>
                <w:bCs/>
              </w:rPr>
            </w:pPr>
            <w:r w:rsidRPr="003E359B">
              <w:rPr>
                <w:rFonts w:ascii="IBM Plex Sans Light" w:hAnsi="IBM Plex Sans Light"/>
                <w:b/>
                <w:bCs/>
                <w:sz w:val="20"/>
              </w:rPr>
              <w:t xml:space="preserve">8.1 The board of a listed entity should: </w:t>
            </w:r>
          </w:p>
          <w:p w14:paraId="695D4B04" w14:textId="77777777" w:rsidR="00B40FB2" w:rsidRPr="003E359B" w:rsidRDefault="004123C2">
            <w:pPr>
              <w:numPr>
                <w:ilvl w:val="0"/>
                <w:numId w:val="23"/>
              </w:numPr>
              <w:spacing w:after="97"/>
              <w:ind w:right="11" w:hanging="360"/>
              <w:rPr>
                <w:rFonts w:ascii="IBM Plex Sans Light" w:hAnsi="IBM Plex Sans Light"/>
                <w:b/>
                <w:bCs/>
              </w:rPr>
            </w:pPr>
            <w:r w:rsidRPr="003E359B">
              <w:rPr>
                <w:rFonts w:ascii="IBM Plex Sans Light" w:hAnsi="IBM Plex Sans Light"/>
                <w:b/>
                <w:bCs/>
                <w:sz w:val="20"/>
              </w:rPr>
              <w:t xml:space="preserve">have a remuneration committee which: </w:t>
            </w:r>
          </w:p>
          <w:p w14:paraId="3B13CF4A" w14:textId="77777777" w:rsidR="00B40FB2" w:rsidRPr="003E359B" w:rsidRDefault="004123C2">
            <w:pPr>
              <w:numPr>
                <w:ilvl w:val="1"/>
                <w:numId w:val="23"/>
              </w:numPr>
              <w:spacing w:after="121" w:line="237" w:lineRule="auto"/>
              <w:ind w:firstLine="0"/>
              <w:rPr>
                <w:rFonts w:ascii="IBM Plex Sans Light" w:hAnsi="IBM Plex Sans Light"/>
                <w:b/>
                <w:bCs/>
              </w:rPr>
            </w:pPr>
            <w:r w:rsidRPr="003E359B">
              <w:rPr>
                <w:rFonts w:ascii="IBM Plex Sans Light" w:hAnsi="IBM Plex Sans Light"/>
                <w:b/>
                <w:bCs/>
                <w:sz w:val="20"/>
              </w:rPr>
              <w:t xml:space="preserve">has at least three members, a majority of whom are independent directors; and </w:t>
            </w:r>
          </w:p>
          <w:p w14:paraId="020426DF" w14:textId="77777777" w:rsidR="00B40FB2" w:rsidRPr="003E359B" w:rsidRDefault="004123C2">
            <w:pPr>
              <w:numPr>
                <w:ilvl w:val="1"/>
                <w:numId w:val="23"/>
              </w:numPr>
              <w:spacing w:after="120" w:line="237" w:lineRule="auto"/>
              <w:ind w:firstLine="0"/>
              <w:rPr>
                <w:rFonts w:ascii="IBM Plex Sans Light" w:hAnsi="IBM Plex Sans Light"/>
                <w:b/>
                <w:bCs/>
              </w:rPr>
            </w:pPr>
            <w:r w:rsidRPr="003E359B">
              <w:rPr>
                <w:rFonts w:ascii="IBM Plex Sans Light" w:hAnsi="IBM Plex Sans Light"/>
                <w:b/>
                <w:bCs/>
                <w:sz w:val="20"/>
              </w:rPr>
              <w:t xml:space="preserve">is chaired by an independent director, and disclose: </w:t>
            </w:r>
          </w:p>
          <w:p w14:paraId="7453FC72" w14:textId="77777777" w:rsidR="00B40FB2" w:rsidRPr="003E359B" w:rsidRDefault="004123C2">
            <w:pPr>
              <w:numPr>
                <w:ilvl w:val="1"/>
                <w:numId w:val="23"/>
              </w:numPr>
              <w:spacing w:after="97"/>
              <w:ind w:firstLine="0"/>
              <w:rPr>
                <w:rFonts w:ascii="IBM Plex Sans Light" w:hAnsi="IBM Plex Sans Light"/>
                <w:b/>
                <w:bCs/>
              </w:rPr>
            </w:pPr>
            <w:r w:rsidRPr="003E359B">
              <w:rPr>
                <w:rFonts w:ascii="IBM Plex Sans Light" w:hAnsi="IBM Plex Sans Light"/>
                <w:b/>
                <w:bCs/>
                <w:sz w:val="20"/>
              </w:rPr>
              <w:t xml:space="preserve">the charter of the committee; </w:t>
            </w:r>
          </w:p>
          <w:p w14:paraId="55088D89" w14:textId="77777777" w:rsidR="00B40FB2" w:rsidRPr="003E359B" w:rsidRDefault="004123C2">
            <w:pPr>
              <w:numPr>
                <w:ilvl w:val="1"/>
                <w:numId w:val="23"/>
              </w:numPr>
              <w:spacing w:after="97"/>
              <w:ind w:firstLine="0"/>
              <w:rPr>
                <w:rFonts w:ascii="IBM Plex Sans Light" w:hAnsi="IBM Plex Sans Light"/>
                <w:b/>
                <w:bCs/>
              </w:rPr>
            </w:pPr>
            <w:r w:rsidRPr="003E359B">
              <w:rPr>
                <w:rFonts w:ascii="IBM Plex Sans Light" w:hAnsi="IBM Plex Sans Light"/>
                <w:b/>
                <w:bCs/>
                <w:sz w:val="20"/>
              </w:rPr>
              <w:t xml:space="preserve">the members of the committee; and </w:t>
            </w:r>
          </w:p>
          <w:p w14:paraId="442AB5BC" w14:textId="77777777" w:rsidR="00B40FB2" w:rsidRPr="003E359B" w:rsidRDefault="004123C2">
            <w:pPr>
              <w:numPr>
                <w:ilvl w:val="1"/>
                <w:numId w:val="23"/>
              </w:numPr>
              <w:spacing w:after="0"/>
              <w:ind w:firstLine="0"/>
              <w:rPr>
                <w:rFonts w:ascii="IBM Plex Sans Light" w:hAnsi="IBM Plex Sans Light"/>
                <w:b/>
                <w:bCs/>
              </w:rPr>
            </w:pPr>
            <w:r w:rsidRPr="003E359B">
              <w:rPr>
                <w:rFonts w:ascii="IBM Plex Sans Light" w:hAnsi="IBM Plex Sans Light"/>
                <w:b/>
                <w:bCs/>
                <w:sz w:val="20"/>
              </w:rPr>
              <w:t xml:space="preserve">as at the end of each reporting period, the </w:t>
            </w:r>
          </w:p>
          <w:p w14:paraId="358AB587" w14:textId="77777777" w:rsidR="00B40FB2" w:rsidRPr="003E359B" w:rsidRDefault="004123C2">
            <w:pPr>
              <w:spacing w:after="140" w:line="237" w:lineRule="auto"/>
              <w:ind w:left="360" w:right="18" w:firstLine="0"/>
              <w:rPr>
                <w:rFonts w:ascii="IBM Plex Sans Light" w:hAnsi="IBM Plex Sans Light"/>
                <w:b/>
                <w:bCs/>
              </w:rPr>
            </w:pPr>
            <w:r w:rsidRPr="003E359B">
              <w:rPr>
                <w:rFonts w:ascii="IBM Plex Sans Light" w:hAnsi="IBM Plex Sans Light"/>
                <w:b/>
                <w:bCs/>
                <w:sz w:val="20"/>
              </w:rPr>
              <w:t xml:space="preserve">number of times the committee met throughout the period and the individual attendances of the members at those meetings; or </w:t>
            </w:r>
          </w:p>
          <w:p w14:paraId="2562D9C8" w14:textId="77777777" w:rsidR="00B40FB2" w:rsidRPr="003E359B" w:rsidRDefault="004123C2">
            <w:pPr>
              <w:numPr>
                <w:ilvl w:val="0"/>
                <w:numId w:val="23"/>
              </w:numPr>
              <w:spacing w:after="0"/>
              <w:ind w:right="11" w:hanging="360"/>
              <w:rPr>
                <w:rFonts w:ascii="IBM Plex Sans Light" w:hAnsi="IBM Plex Sans Light"/>
                <w:b/>
                <w:bCs/>
              </w:rPr>
            </w:pPr>
            <w:r w:rsidRPr="003E359B">
              <w:rPr>
                <w:rFonts w:ascii="IBM Plex Sans Light" w:hAnsi="IBM Plex Sans Light"/>
                <w:b/>
                <w:bCs/>
                <w:sz w:val="20"/>
              </w:rPr>
              <w:t xml:space="preserve">if it does not have a remuneration committee, disclose that fact and the processes it employs for setting the level and composition of remuneration for directors and senior executives and ensuring that such remuneration is appropriate and not excessive. </w:t>
            </w:r>
          </w:p>
        </w:tc>
        <w:tc>
          <w:tcPr>
            <w:tcW w:w="9329" w:type="dxa"/>
          </w:tcPr>
          <w:p w14:paraId="5C498A0C" w14:textId="542AA57B" w:rsidR="00B40FB2" w:rsidRPr="00A256D5" w:rsidRDefault="004123C2">
            <w:pPr>
              <w:spacing w:after="120" w:line="237" w:lineRule="auto"/>
              <w:ind w:left="2" w:firstLine="0"/>
              <w:rPr>
                <w:rFonts w:ascii="IBM Plex Sans" w:hAnsi="IBM Plex Sans"/>
                <w:sz w:val="20"/>
                <w:szCs w:val="20"/>
              </w:rPr>
            </w:pPr>
            <w:r w:rsidRPr="00A256D5">
              <w:rPr>
                <w:rFonts w:ascii="IBM Plex Sans" w:hAnsi="IBM Plex Sans"/>
                <w:sz w:val="20"/>
                <w:szCs w:val="20"/>
              </w:rPr>
              <w:t xml:space="preserve">To assist in the execution of its responsibilities, the Board has established a Nomination &amp; Remuneration Committee. The committee’s </w:t>
            </w:r>
            <w:hyperlink r:id="rId55">
              <w:r w:rsidRPr="00A256D5">
                <w:rPr>
                  <w:rFonts w:ascii="IBM Plex Sans" w:hAnsi="IBM Plex Sans"/>
                  <w:color w:val="0000FF"/>
                  <w:sz w:val="20"/>
                  <w:szCs w:val="20"/>
                  <w:u w:val="single" w:color="0000FF"/>
                </w:rPr>
                <w:t>Nomination &amp; Remuneration Charter</w:t>
              </w:r>
            </w:hyperlink>
            <w:hyperlink r:id="rId56">
              <w:r w:rsidRPr="00A256D5">
                <w:rPr>
                  <w:rFonts w:ascii="IBM Plex Sans" w:hAnsi="IBM Plex Sans"/>
                  <w:sz w:val="20"/>
                  <w:szCs w:val="20"/>
                </w:rPr>
                <w:t xml:space="preserve"> </w:t>
              </w:r>
            </w:hyperlink>
            <w:r w:rsidRPr="00A256D5">
              <w:rPr>
                <w:rFonts w:ascii="IBM Plex Sans" w:hAnsi="IBM Plex Sans"/>
                <w:sz w:val="20"/>
                <w:szCs w:val="20"/>
              </w:rPr>
              <w:t xml:space="preserve">can be found on the </w:t>
            </w:r>
            <w:r w:rsidR="00BA705D" w:rsidRPr="00A256D5">
              <w:rPr>
                <w:rFonts w:ascii="IBM Plex Sans" w:hAnsi="IBM Plex Sans"/>
                <w:sz w:val="20"/>
                <w:szCs w:val="20"/>
              </w:rPr>
              <w:t>A</w:t>
            </w:r>
            <w:r w:rsidR="001B3643" w:rsidRPr="00A256D5">
              <w:rPr>
                <w:rFonts w:ascii="IBM Plex Sans" w:hAnsi="IBM Plex Sans"/>
                <w:sz w:val="20"/>
                <w:szCs w:val="20"/>
              </w:rPr>
              <w:t>cumentis</w:t>
            </w:r>
            <w:r w:rsidRPr="00A256D5">
              <w:rPr>
                <w:rFonts w:ascii="IBM Plex Sans" w:hAnsi="IBM Plex Sans"/>
                <w:sz w:val="20"/>
                <w:szCs w:val="20"/>
              </w:rPr>
              <w:t xml:space="preserve"> website. </w:t>
            </w:r>
          </w:p>
          <w:p w14:paraId="0C41D7A3" w14:textId="77777777" w:rsidR="00B40FB2" w:rsidRPr="00A256D5" w:rsidRDefault="004123C2">
            <w:pPr>
              <w:spacing w:after="120"/>
              <w:ind w:left="2" w:firstLine="0"/>
              <w:rPr>
                <w:rFonts w:ascii="IBM Plex Sans" w:hAnsi="IBM Plex Sans"/>
                <w:sz w:val="20"/>
                <w:szCs w:val="20"/>
              </w:rPr>
            </w:pPr>
            <w:r w:rsidRPr="00A256D5">
              <w:rPr>
                <w:rFonts w:ascii="IBM Plex Sans" w:hAnsi="IBM Plex Sans"/>
                <w:sz w:val="20"/>
                <w:szCs w:val="20"/>
              </w:rPr>
              <w:t xml:space="preserve">The committee currently comprises: </w:t>
            </w:r>
          </w:p>
          <w:p w14:paraId="54FA438F" w14:textId="77777777" w:rsidR="00B40FB2" w:rsidRPr="00A256D5" w:rsidRDefault="004123C2" w:rsidP="003E359B">
            <w:pPr>
              <w:pStyle w:val="ListParagraph"/>
              <w:numPr>
                <w:ilvl w:val="0"/>
                <w:numId w:val="30"/>
              </w:numPr>
              <w:spacing w:after="0"/>
              <w:rPr>
                <w:rFonts w:ascii="IBM Plex Sans" w:hAnsi="IBM Plex Sans"/>
                <w:sz w:val="20"/>
                <w:szCs w:val="20"/>
              </w:rPr>
            </w:pPr>
            <w:r w:rsidRPr="00A256D5">
              <w:rPr>
                <w:rFonts w:ascii="IBM Plex Sans" w:hAnsi="IBM Plex Sans"/>
                <w:sz w:val="20"/>
                <w:szCs w:val="20"/>
              </w:rPr>
              <w:t xml:space="preserve">two non-executive independent directors (one of which is the Chair); and </w:t>
            </w:r>
          </w:p>
          <w:p w14:paraId="1FFE9965" w14:textId="77777777" w:rsidR="00B40FB2" w:rsidRPr="00A256D5" w:rsidRDefault="004123C2" w:rsidP="003E359B">
            <w:pPr>
              <w:pStyle w:val="ListParagraph"/>
              <w:numPr>
                <w:ilvl w:val="0"/>
                <w:numId w:val="30"/>
              </w:numPr>
              <w:spacing w:after="80"/>
              <w:rPr>
                <w:rFonts w:ascii="IBM Plex Sans" w:hAnsi="IBM Plex Sans"/>
                <w:sz w:val="20"/>
                <w:szCs w:val="20"/>
              </w:rPr>
            </w:pPr>
            <w:r w:rsidRPr="00A256D5">
              <w:rPr>
                <w:rFonts w:ascii="IBM Plex Sans" w:hAnsi="IBM Plex Sans"/>
                <w:sz w:val="20"/>
                <w:szCs w:val="20"/>
              </w:rPr>
              <w:t xml:space="preserve">one non-executive non-independent director. </w:t>
            </w:r>
          </w:p>
          <w:p w14:paraId="054F865F" w14:textId="77777777" w:rsidR="00B40FB2" w:rsidRPr="00A256D5" w:rsidRDefault="004123C2">
            <w:pPr>
              <w:spacing w:after="120"/>
              <w:ind w:left="2" w:firstLine="0"/>
              <w:rPr>
                <w:rFonts w:ascii="IBM Plex Sans" w:hAnsi="IBM Plex Sans"/>
                <w:sz w:val="20"/>
                <w:szCs w:val="20"/>
              </w:rPr>
            </w:pPr>
            <w:r w:rsidRPr="00A256D5">
              <w:rPr>
                <w:rFonts w:ascii="IBM Plex Sans" w:hAnsi="IBM Plex Sans"/>
                <w:sz w:val="20"/>
                <w:szCs w:val="20"/>
              </w:rPr>
              <w:t xml:space="preserve">The duties of the Committee in relation to remuneration matters include: </w:t>
            </w:r>
          </w:p>
          <w:p w14:paraId="56E29359" w14:textId="77777777" w:rsidR="00B40FB2" w:rsidRPr="00A256D5" w:rsidRDefault="004123C2" w:rsidP="003E359B">
            <w:pPr>
              <w:pStyle w:val="ListParagraph"/>
              <w:numPr>
                <w:ilvl w:val="0"/>
                <w:numId w:val="32"/>
              </w:numPr>
              <w:spacing w:after="0"/>
              <w:rPr>
                <w:rFonts w:ascii="IBM Plex Sans" w:hAnsi="IBM Plex Sans"/>
                <w:sz w:val="20"/>
                <w:szCs w:val="20"/>
              </w:rPr>
            </w:pPr>
            <w:r w:rsidRPr="00A256D5">
              <w:rPr>
                <w:rFonts w:ascii="IBM Plex Sans" w:hAnsi="IBM Plex Sans"/>
                <w:sz w:val="20"/>
                <w:szCs w:val="20"/>
              </w:rPr>
              <w:t xml:space="preserve">determining remuneration policies and remuneration of directors; </w:t>
            </w:r>
          </w:p>
          <w:p w14:paraId="4D3B96F2" w14:textId="77777777" w:rsidR="00B40FB2" w:rsidRPr="00A256D5" w:rsidRDefault="004123C2" w:rsidP="003E359B">
            <w:pPr>
              <w:pStyle w:val="ListParagraph"/>
              <w:numPr>
                <w:ilvl w:val="0"/>
                <w:numId w:val="32"/>
              </w:numPr>
              <w:spacing w:after="0"/>
              <w:rPr>
                <w:rFonts w:ascii="IBM Plex Sans" w:hAnsi="IBM Plex Sans"/>
                <w:sz w:val="20"/>
                <w:szCs w:val="20"/>
              </w:rPr>
            </w:pPr>
            <w:r w:rsidRPr="00A256D5">
              <w:rPr>
                <w:rFonts w:ascii="IBM Plex Sans" w:hAnsi="IBM Plex Sans"/>
                <w:sz w:val="20"/>
                <w:szCs w:val="20"/>
              </w:rPr>
              <w:t xml:space="preserve">determining remuneration and incentive policies packages of key executives; </w:t>
            </w:r>
          </w:p>
          <w:p w14:paraId="021AA50C" w14:textId="77777777" w:rsidR="00B40FB2" w:rsidRPr="00A256D5" w:rsidRDefault="004123C2" w:rsidP="003E359B">
            <w:pPr>
              <w:pStyle w:val="ListParagraph"/>
              <w:numPr>
                <w:ilvl w:val="0"/>
                <w:numId w:val="32"/>
              </w:numPr>
              <w:spacing w:after="0"/>
              <w:rPr>
                <w:rFonts w:ascii="IBM Plex Sans" w:hAnsi="IBM Plex Sans"/>
                <w:sz w:val="20"/>
                <w:szCs w:val="20"/>
              </w:rPr>
            </w:pPr>
            <w:r w:rsidRPr="00A256D5">
              <w:rPr>
                <w:rFonts w:ascii="IBM Plex Sans" w:hAnsi="IBM Plex Sans"/>
                <w:sz w:val="20"/>
                <w:szCs w:val="20"/>
              </w:rPr>
              <w:t xml:space="preserve">determining and reviewing incentive schemes; </w:t>
            </w:r>
          </w:p>
          <w:p w14:paraId="533A7CBF" w14:textId="77777777" w:rsidR="00B40FB2" w:rsidRPr="00A256D5" w:rsidRDefault="004123C2" w:rsidP="003E359B">
            <w:pPr>
              <w:pStyle w:val="ListParagraph"/>
              <w:numPr>
                <w:ilvl w:val="0"/>
                <w:numId w:val="32"/>
              </w:numPr>
              <w:spacing w:after="0"/>
              <w:rPr>
                <w:rFonts w:ascii="IBM Plex Sans" w:hAnsi="IBM Plex Sans"/>
                <w:sz w:val="20"/>
                <w:szCs w:val="20"/>
              </w:rPr>
            </w:pPr>
            <w:r w:rsidRPr="00A256D5">
              <w:rPr>
                <w:rFonts w:ascii="IBM Plex Sans" w:hAnsi="IBM Plex Sans"/>
                <w:sz w:val="20"/>
                <w:szCs w:val="20"/>
              </w:rPr>
              <w:t xml:space="preserve">professional indemnity and liability insurance for directors and senior management;  </w:t>
            </w:r>
          </w:p>
          <w:p w14:paraId="05D09EDC" w14:textId="77777777" w:rsidR="00B40FB2" w:rsidRPr="00A256D5" w:rsidRDefault="004123C2" w:rsidP="003E359B">
            <w:pPr>
              <w:pStyle w:val="ListParagraph"/>
              <w:numPr>
                <w:ilvl w:val="0"/>
                <w:numId w:val="32"/>
              </w:numPr>
              <w:spacing w:after="80"/>
              <w:rPr>
                <w:rFonts w:ascii="IBM Plex Sans" w:hAnsi="IBM Plex Sans"/>
                <w:sz w:val="20"/>
                <w:szCs w:val="20"/>
              </w:rPr>
            </w:pPr>
            <w:r w:rsidRPr="00A256D5">
              <w:rPr>
                <w:rFonts w:ascii="IBM Plex Sans" w:hAnsi="IBM Plex Sans"/>
                <w:sz w:val="20"/>
                <w:szCs w:val="20"/>
              </w:rPr>
              <w:t xml:space="preserve">reviewing succession plans for senior management. </w:t>
            </w:r>
          </w:p>
          <w:p w14:paraId="2F6AFE84"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Committee ensures that the Board and senior management are provided with </w:t>
            </w:r>
            <w:proofErr w:type="gramStart"/>
            <w:r w:rsidRPr="00A256D5">
              <w:rPr>
                <w:rFonts w:ascii="IBM Plex Sans" w:hAnsi="IBM Plex Sans"/>
                <w:sz w:val="20"/>
                <w:szCs w:val="20"/>
              </w:rPr>
              <w:t>sufficient</w:t>
            </w:r>
            <w:proofErr w:type="gramEnd"/>
            <w:r w:rsidRPr="00A256D5">
              <w:rPr>
                <w:rFonts w:ascii="IBM Plex Sans" w:hAnsi="IBM Plex Sans"/>
                <w:sz w:val="20"/>
                <w:szCs w:val="20"/>
              </w:rPr>
              <w:t xml:space="preserve"> information to ensure informed decision making. </w:t>
            </w:r>
          </w:p>
        </w:tc>
      </w:tr>
      <w:tr w:rsidR="00B40FB2" w:rsidRPr="003E359B" w14:paraId="74FB7448" w14:textId="77777777" w:rsidTr="003E359B">
        <w:trPr>
          <w:trHeight w:val="1929"/>
        </w:trPr>
        <w:tc>
          <w:tcPr>
            <w:tcW w:w="4705" w:type="dxa"/>
          </w:tcPr>
          <w:p w14:paraId="08874784" w14:textId="77777777" w:rsidR="00B40FB2" w:rsidRPr="003E359B" w:rsidRDefault="004123C2">
            <w:pPr>
              <w:spacing w:after="0"/>
              <w:ind w:left="360" w:hanging="360"/>
              <w:rPr>
                <w:rFonts w:ascii="IBM Plex Sans Light" w:hAnsi="IBM Plex Sans Light"/>
                <w:b/>
                <w:bCs/>
              </w:rPr>
            </w:pPr>
            <w:r w:rsidRPr="003E359B">
              <w:rPr>
                <w:rFonts w:ascii="IBM Plex Sans Light" w:hAnsi="IBM Plex Sans Light"/>
                <w:b/>
                <w:bCs/>
                <w:sz w:val="20"/>
              </w:rPr>
              <w:t xml:space="preserve">8.2 A listed entity should separately disclose its policies and practices regarding the remuneration of non-executive directors and the remuneration of executive directors and other senior executives. </w:t>
            </w:r>
          </w:p>
        </w:tc>
        <w:tc>
          <w:tcPr>
            <w:tcW w:w="9329" w:type="dxa"/>
          </w:tcPr>
          <w:p w14:paraId="48CF4F7F" w14:textId="77777777" w:rsidR="00B40FB2" w:rsidRPr="00A256D5" w:rsidRDefault="004123C2">
            <w:pPr>
              <w:spacing w:after="121" w:line="237" w:lineRule="auto"/>
              <w:ind w:left="2" w:firstLine="0"/>
              <w:rPr>
                <w:rFonts w:ascii="IBM Plex Sans" w:hAnsi="IBM Plex Sans"/>
                <w:sz w:val="20"/>
                <w:szCs w:val="20"/>
              </w:rPr>
            </w:pPr>
            <w:r w:rsidRPr="00A256D5">
              <w:rPr>
                <w:rFonts w:ascii="IBM Plex Sans" w:hAnsi="IBM Plex Sans"/>
                <w:sz w:val="20"/>
                <w:szCs w:val="20"/>
              </w:rPr>
              <w:t xml:space="preserve">Director remuneration for each financial year is disclosed in the annual report. Remuneration of the Directors has been set following a benchmarking process for comparable roles in comparable listed companies. </w:t>
            </w:r>
          </w:p>
          <w:p w14:paraId="54298BFC" w14:textId="77777777" w:rsidR="00B40FB2" w:rsidRPr="00A256D5" w:rsidRDefault="004123C2">
            <w:pPr>
              <w:spacing w:after="120" w:line="237" w:lineRule="auto"/>
              <w:ind w:left="2" w:firstLine="0"/>
              <w:rPr>
                <w:rFonts w:ascii="IBM Plex Sans" w:hAnsi="IBM Plex Sans"/>
                <w:sz w:val="20"/>
                <w:szCs w:val="20"/>
              </w:rPr>
            </w:pPr>
            <w:r w:rsidRPr="00A256D5">
              <w:rPr>
                <w:rFonts w:ascii="IBM Plex Sans" w:hAnsi="IBM Plex Sans"/>
                <w:sz w:val="20"/>
                <w:szCs w:val="20"/>
              </w:rPr>
              <w:t xml:space="preserve">The non-executive Director’s remuneration is </w:t>
            </w:r>
            <w:proofErr w:type="gramStart"/>
            <w:r w:rsidRPr="00A256D5">
              <w:rPr>
                <w:rFonts w:ascii="IBM Plex Sans" w:hAnsi="IBM Plex Sans"/>
                <w:sz w:val="20"/>
                <w:szCs w:val="20"/>
              </w:rPr>
              <w:t>fixed</w:t>
            </w:r>
            <w:proofErr w:type="gramEnd"/>
            <w:r w:rsidRPr="00A256D5">
              <w:rPr>
                <w:rFonts w:ascii="IBM Plex Sans" w:hAnsi="IBM Plex Sans"/>
                <w:sz w:val="20"/>
                <w:szCs w:val="20"/>
              </w:rPr>
              <w:t xml:space="preserve"> and they do not participate in any “at risk” incentive plans. Remuneration paid to executives in includes fixed and variable components.  </w:t>
            </w:r>
          </w:p>
          <w:p w14:paraId="58EC1C03" w14:textId="44F96CAE"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w:t>
            </w:r>
            <w:hyperlink r:id="rId57">
              <w:r w:rsidRPr="00A256D5">
                <w:rPr>
                  <w:rFonts w:ascii="IBM Plex Sans" w:hAnsi="IBM Plex Sans"/>
                  <w:color w:val="0000FF"/>
                  <w:sz w:val="20"/>
                  <w:szCs w:val="20"/>
                  <w:u w:val="single" w:color="0000FF"/>
                </w:rPr>
                <w:t>Nomination &amp; Remuneration Committee Charte</w:t>
              </w:r>
            </w:hyperlink>
            <w:hyperlink r:id="rId58">
              <w:r w:rsidRPr="00A256D5">
                <w:rPr>
                  <w:rFonts w:ascii="IBM Plex Sans" w:hAnsi="IBM Plex Sans"/>
                  <w:sz w:val="20"/>
                  <w:szCs w:val="20"/>
                </w:rPr>
                <w:t>r</w:t>
              </w:r>
            </w:hyperlink>
            <w:r w:rsidRPr="00A256D5">
              <w:rPr>
                <w:rFonts w:ascii="IBM Plex Sans" w:hAnsi="IBM Plex Sans"/>
                <w:sz w:val="20"/>
                <w:szCs w:val="20"/>
              </w:rPr>
              <w:t xml:space="preserve"> can be found on the </w:t>
            </w:r>
            <w:r w:rsidR="00BA705D" w:rsidRPr="00A256D5">
              <w:rPr>
                <w:rFonts w:ascii="IBM Plex Sans" w:hAnsi="IBM Plex Sans"/>
                <w:sz w:val="20"/>
                <w:szCs w:val="20"/>
              </w:rPr>
              <w:t>A</w:t>
            </w:r>
            <w:r w:rsidR="001B3643" w:rsidRPr="00A256D5">
              <w:rPr>
                <w:rFonts w:ascii="IBM Plex Sans" w:hAnsi="IBM Plex Sans"/>
                <w:sz w:val="20"/>
                <w:szCs w:val="20"/>
              </w:rPr>
              <w:t>cumentis</w:t>
            </w:r>
            <w:r w:rsidRPr="00A256D5">
              <w:rPr>
                <w:rFonts w:ascii="IBM Plex Sans" w:hAnsi="IBM Plex Sans"/>
                <w:sz w:val="20"/>
                <w:szCs w:val="20"/>
              </w:rPr>
              <w:t xml:space="preserve"> website. </w:t>
            </w:r>
          </w:p>
        </w:tc>
      </w:tr>
      <w:tr w:rsidR="00B40FB2" w:rsidRPr="003E359B" w14:paraId="1E01766A" w14:textId="77777777" w:rsidTr="003E359B">
        <w:trPr>
          <w:trHeight w:val="2410"/>
        </w:trPr>
        <w:tc>
          <w:tcPr>
            <w:tcW w:w="4705" w:type="dxa"/>
          </w:tcPr>
          <w:p w14:paraId="6DA8DC26" w14:textId="77777777" w:rsidR="00B40FB2" w:rsidRPr="003E359B" w:rsidRDefault="004123C2">
            <w:pPr>
              <w:spacing w:after="140" w:line="237" w:lineRule="auto"/>
              <w:ind w:left="360" w:hanging="360"/>
              <w:rPr>
                <w:rFonts w:ascii="IBM Plex Sans Light" w:hAnsi="IBM Plex Sans Light"/>
                <w:b/>
                <w:bCs/>
              </w:rPr>
            </w:pPr>
            <w:r w:rsidRPr="003E359B">
              <w:rPr>
                <w:rFonts w:ascii="IBM Plex Sans Light" w:hAnsi="IBM Plex Sans Light"/>
                <w:b/>
                <w:bCs/>
                <w:sz w:val="20"/>
              </w:rPr>
              <w:lastRenderedPageBreak/>
              <w:t xml:space="preserve">8.3 A listed entity which has an equity-based remuneration scheme should: </w:t>
            </w:r>
          </w:p>
          <w:p w14:paraId="02129086" w14:textId="77777777" w:rsidR="00B40FB2" w:rsidRPr="003E359B" w:rsidRDefault="004123C2">
            <w:pPr>
              <w:numPr>
                <w:ilvl w:val="0"/>
                <w:numId w:val="25"/>
              </w:numPr>
              <w:spacing w:after="140" w:line="237" w:lineRule="auto"/>
              <w:ind w:hanging="360"/>
              <w:rPr>
                <w:rFonts w:ascii="IBM Plex Sans Light" w:hAnsi="IBM Plex Sans Light"/>
                <w:b/>
                <w:bCs/>
              </w:rPr>
            </w:pPr>
            <w:r w:rsidRPr="003E359B">
              <w:rPr>
                <w:rFonts w:ascii="IBM Plex Sans Light" w:hAnsi="IBM Plex Sans Light"/>
                <w:b/>
                <w:bCs/>
                <w:sz w:val="20"/>
              </w:rPr>
              <w:t xml:space="preserve">have a policy on whether participants are permitted to enter into transactions (whether </w:t>
            </w:r>
            <w:proofErr w:type="gramStart"/>
            <w:r w:rsidRPr="003E359B">
              <w:rPr>
                <w:rFonts w:ascii="IBM Plex Sans Light" w:hAnsi="IBM Plex Sans Light"/>
                <w:b/>
                <w:bCs/>
                <w:sz w:val="20"/>
              </w:rPr>
              <w:t>through the use of</w:t>
            </w:r>
            <w:proofErr w:type="gramEnd"/>
            <w:r w:rsidRPr="003E359B">
              <w:rPr>
                <w:rFonts w:ascii="IBM Plex Sans Light" w:hAnsi="IBM Plex Sans Light"/>
                <w:b/>
                <w:bCs/>
                <w:sz w:val="20"/>
              </w:rPr>
              <w:t xml:space="preserve"> derivatives or otherwise) which limit the economic risk of participating in the scheme; and </w:t>
            </w:r>
          </w:p>
          <w:p w14:paraId="1D3F1BC1" w14:textId="77777777" w:rsidR="00B40FB2" w:rsidRPr="003E359B" w:rsidRDefault="004123C2">
            <w:pPr>
              <w:numPr>
                <w:ilvl w:val="0"/>
                <w:numId w:val="25"/>
              </w:numPr>
              <w:spacing w:after="0"/>
              <w:ind w:hanging="360"/>
              <w:rPr>
                <w:rFonts w:ascii="IBM Plex Sans Light" w:hAnsi="IBM Plex Sans Light"/>
                <w:b/>
                <w:bCs/>
              </w:rPr>
            </w:pPr>
            <w:r w:rsidRPr="003E359B">
              <w:rPr>
                <w:rFonts w:ascii="IBM Plex Sans Light" w:hAnsi="IBM Plex Sans Light"/>
                <w:b/>
                <w:bCs/>
                <w:sz w:val="20"/>
              </w:rPr>
              <w:t xml:space="preserve">disclose that policy or a summary of it. </w:t>
            </w:r>
          </w:p>
        </w:tc>
        <w:tc>
          <w:tcPr>
            <w:tcW w:w="9329" w:type="dxa"/>
          </w:tcPr>
          <w:p w14:paraId="19188200" w14:textId="77777777" w:rsidR="00B40FB2" w:rsidRPr="00A256D5" w:rsidRDefault="004123C2">
            <w:pPr>
              <w:spacing w:after="120" w:line="237" w:lineRule="auto"/>
              <w:ind w:left="2" w:firstLine="0"/>
              <w:rPr>
                <w:rFonts w:ascii="IBM Plex Sans" w:hAnsi="IBM Plex Sans"/>
                <w:sz w:val="20"/>
                <w:szCs w:val="20"/>
              </w:rPr>
            </w:pPr>
            <w:r w:rsidRPr="00A256D5">
              <w:rPr>
                <w:rFonts w:ascii="IBM Plex Sans" w:hAnsi="IBM Plex Sans"/>
                <w:sz w:val="20"/>
                <w:szCs w:val="20"/>
              </w:rPr>
              <w:t xml:space="preserve">The Company does have an equity-based remuneration scheme. However, it does not permit participants to enter into transactions (whether through derivatives or otherwise) which limit the economic risk of participating in the scheme. </w:t>
            </w:r>
          </w:p>
          <w:p w14:paraId="5C3FFE09" w14:textId="40D70556"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The Company also has a </w:t>
            </w:r>
            <w:hyperlink r:id="rId59">
              <w:r w:rsidRPr="00A256D5">
                <w:rPr>
                  <w:rFonts w:ascii="IBM Plex Sans" w:hAnsi="IBM Plex Sans"/>
                  <w:color w:val="0000FF"/>
                  <w:sz w:val="20"/>
                  <w:szCs w:val="20"/>
                  <w:u w:val="single" w:color="0000FF"/>
                </w:rPr>
                <w:t>Share Trading Policy</w:t>
              </w:r>
            </w:hyperlink>
            <w:hyperlink r:id="rId60">
              <w:r w:rsidRPr="00A256D5">
                <w:rPr>
                  <w:rFonts w:ascii="IBM Plex Sans" w:hAnsi="IBM Plex Sans"/>
                  <w:sz w:val="20"/>
                  <w:szCs w:val="20"/>
                </w:rPr>
                <w:t xml:space="preserve"> </w:t>
              </w:r>
            </w:hyperlink>
            <w:r w:rsidRPr="00A256D5">
              <w:rPr>
                <w:rFonts w:ascii="IBM Plex Sans" w:hAnsi="IBM Plex Sans"/>
                <w:sz w:val="20"/>
                <w:szCs w:val="20"/>
              </w:rPr>
              <w:t xml:space="preserve">which has been disclosed to the ASX and which has been published on the </w:t>
            </w:r>
            <w:r w:rsidR="00BA705D" w:rsidRPr="00A256D5">
              <w:rPr>
                <w:rFonts w:ascii="IBM Plex Sans" w:hAnsi="IBM Plex Sans"/>
                <w:sz w:val="20"/>
                <w:szCs w:val="20"/>
              </w:rPr>
              <w:t>ACUMENTIS</w:t>
            </w:r>
            <w:r w:rsidRPr="00A256D5">
              <w:rPr>
                <w:rFonts w:ascii="IBM Plex Sans" w:hAnsi="IBM Plex Sans"/>
                <w:sz w:val="20"/>
                <w:szCs w:val="20"/>
              </w:rPr>
              <w:t xml:space="preserve"> website. </w:t>
            </w:r>
          </w:p>
        </w:tc>
      </w:tr>
      <w:tr w:rsidR="00B40FB2" w:rsidRPr="003E359B" w14:paraId="1A242947" w14:textId="77777777" w:rsidTr="003E359B">
        <w:trPr>
          <w:trHeight w:val="968"/>
        </w:trPr>
        <w:tc>
          <w:tcPr>
            <w:tcW w:w="4705" w:type="dxa"/>
          </w:tcPr>
          <w:p w14:paraId="39287D80" w14:textId="77777777" w:rsidR="00B40FB2" w:rsidRPr="003E359B" w:rsidRDefault="004123C2">
            <w:pPr>
              <w:spacing w:after="0"/>
              <w:ind w:left="360" w:hanging="360"/>
              <w:rPr>
                <w:rFonts w:ascii="IBM Plex Sans Light" w:hAnsi="IBM Plex Sans Light"/>
                <w:b/>
                <w:bCs/>
              </w:rPr>
            </w:pPr>
            <w:r w:rsidRPr="003E359B">
              <w:rPr>
                <w:rFonts w:ascii="IBM Plex Sans Light" w:hAnsi="IBM Plex Sans Light"/>
                <w:b/>
                <w:bCs/>
                <w:sz w:val="20"/>
              </w:rPr>
              <w:t xml:space="preserve">8.4 An externally managed listed entity should clearly disclose the terms governing the remuneration of the manager. </w:t>
            </w:r>
          </w:p>
        </w:tc>
        <w:tc>
          <w:tcPr>
            <w:tcW w:w="9329" w:type="dxa"/>
          </w:tcPr>
          <w:p w14:paraId="61636BCB" w14:textId="77777777" w:rsidR="00B40FB2" w:rsidRPr="00A256D5" w:rsidRDefault="004123C2">
            <w:pPr>
              <w:spacing w:after="97"/>
              <w:ind w:left="2" w:firstLine="0"/>
              <w:rPr>
                <w:rFonts w:ascii="IBM Plex Sans" w:hAnsi="IBM Plex Sans"/>
                <w:sz w:val="20"/>
                <w:szCs w:val="20"/>
              </w:rPr>
            </w:pPr>
            <w:r w:rsidRPr="00A256D5">
              <w:rPr>
                <w:rFonts w:ascii="IBM Plex Sans" w:hAnsi="IBM Plex Sans"/>
                <w:sz w:val="20"/>
                <w:szCs w:val="20"/>
              </w:rPr>
              <w:t xml:space="preserve">The Company is not externally managed.  </w:t>
            </w:r>
          </w:p>
          <w:p w14:paraId="3E2B31D9" w14:textId="77777777" w:rsidR="00B40FB2" w:rsidRPr="00A256D5" w:rsidRDefault="004123C2">
            <w:pPr>
              <w:spacing w:after="0"/>
              <w:ind w:left="2" w:firstLine="0"/>
              <w:rPr>
                <w:rFonts w:ascii="IBM Plex Sans" w:hAnsi="IBM Plex Sans"/>
                <w:sz w:val="20"/>
                <w:szCs w:val="20"/>
              </w:rPr>
            </w:pPr>
            <w:r w:rsidRPr="00A256D5">
              <w:rPr>
                <w:rFonts w:ascii="IBM Plex Sans" w:hAnsi="IBM Plex Sans"/>
                <w:sz w:val="20"/>
                <w:szCs w:val="20"/>
              </w:rPr>
              <w:t xml:space="preserve"> </w:t>
            </w:r>
          </w:p>
        </w:tc>
      </w:tr>
    </w:tbl>
    <w:p w14:paraId="78503B4B" w14:textId="77777777" w:rsidR="00B40FB2" w:rsidRPr="003E359B" w:rsidRDefault="004123C2">
      <w:pPr>
        <w:spacing w:after="0"/>
        <w:ind w:left="0" w:firstLine="0"/>
        <w:jc w:val="both"/>
        <w:rPr>
          <w:rFonts w:ascii="IBM Plex Sans Light" w:hAnsi="IBM Plex Sans Light"/>
        </w:rPr>
      </w:pPr>
      <w:r w:rsidRPr="003E359B">
        <w:rPr>
          <w:rFonts w:ascii="IBM Plex Sans Light" w:hAnsi="IBM Plex Sans Light"/>
        </w:rPr>
        <w:t xml:space="preserve"> </w:t>
      </w:r>
    </w:p>
    <w:sectPr w:rsidR="00B40FB2" w:rsidRPr="003E359B" w:rsidSect="00D442AA">
      <w:headerReference w:type="even" r:id="rId61"/>
      <w:headerReference w:type="default" r:id="rId62"/>
      <w:footerReference w:type="even" r:id="rId63"/>
      <w:footerReference w:type="default" r:id="rId64"/>
      <w:headerReference w:type="first" r:id="rId65"/>
      <w:footerReference w:type="first" r:id="rId66"/>
      <w:pgSz w:w="16838" w:h="11906" w:orient="landscape"/>
      <w:pgMar w:top="1524" w:right="1374" w:bottom="181" w:left="1440" w:header="720" w:footer="5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720BF" w14:textId="77777777" w:rsidR="004614A0" w:rsidRDefault="004614A0">
      <w:pPr>
        <w:spacing w:after="0" w:line="240" w:lineRule="auto"/>
      </w:pPr>
      <w:r>
        <w:separator/>
      </w:r>
    </w:p>
  </w:endnote>
  <w:endnote w:type="continuationSeparator" w:id="0">
    <w:p w14:paraId="36BFEA9F" w14:textId="77777777" w:rsidR="004614A0" w:rsidRDefault="00461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BM Plex Serif Text">
    <w:panose1 w:val="02060503050406000203"/>
    <w:charset w:val="00"/>
    <w:family w:val="roman"/>
    <w:notTrueType/>
    <w:pitch w:val="variable"/>
    <w:sig w:usb0="A000026F" w:usb1="5000203B" w:usb2="00000000" w:usb3="00000000" w:csb0="00000197" w:csb1="00000000"/>
  </w:font>
  <w:font w:name="IBM Plex Sans Light">
    <w:panose1 w:val="020B0403050203000203"/>
    <w:charset w:val="00"/>
    <w:family w:val="swiss"/>
    <w:notTrueType/>
    <w:pitch w:val="variable"/>
    <w:sig w:usb0="A00002EF" w:usb1="5000207B" w:usb2="00000000" w:usb3="00000000" w:csb0="0000019F" w:csb1="00000000"/>
  </w:font>
  <w:font w:name="Lato">
    <w:altName w:val="Segoe UI"/>
    <w:panose1 w:val="020F0502020204030203"/>
    <w:charset w:val="00"/>
    <w:family w:val="swiss"/>
    <w:pitch w:val="variable"/>
    <w:sig w:usb0="E10002FF" w:usb1="5000ECFF" w:usb2="00000021" w:usb3="00000000" w:csb0="0000019F" w:csb1="00000000"/>
  </w:font>
  <w:font w:name="IBM Plex Sans">
    <w:panose1 w:val="020B0503050203000203"/>
    <w:charset w:val="00"/>
    <w:family w:val="swiss"/>
    <w:notTrueType/>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37DEC" w14:textId="77777777" w:rsidR="00B40FB2" w:rsidRDefault="004123C2">
    <w:pPr>
      <w:spacing w:after="0"/>
      <w:ind w:left="0" w:firstLine="0"/>
    </w:pPr>
    <w:r>
      <w:rPr>
        <w:noProof/>
      </w:rPr>
      <w:drawing>
        <wp:anchor distT="0" distB="0" distL="114300" distR="114300" simplePos="0" relativeHeight="251656704" behindDoc="0" locked="0" layoutInCell="1" allowOverlap="0" wp14:anchorId="35DEAA02" wp14:editId="60785EE2">
          <wp:simplePos x="0" y="0"/>
          <wp:positionH relativeFrom="page">
            <wp:posOffset>9303385</wp:posOffset>
          </wp:positionH>
          <wp:positionV relativeFrom="page">
            <wp:posOffset>6817995</wp:posOffset>
          </wp:positionV>
          <wp:extent cx="541655" cy="506032"/>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1"/>
                  <a:stretch>
                    <a:fillRect/>
                  </a:stretch>
                </pic:blipFill>
                <pic:spPr>
                  <a:xfrm>
                    <a:off x="0" y="0"/>
                    <a:ext cx="541655" cy="506032"/>
                  </a:xfrm>
                  <a:prstGeom prst="rect">
                    <a:avLst/>
                  </a:prstGeom>
                </pic:spPr>
              </pic:pic>
            </a:graphicData>
          </a:graphic>
        </wp:anchor>
      </w:drawing>
    </w:r>
    <w:r>
      <w:t xml:space="preserve"> </w:t>
    </w:r>
  </w:p>
  <w:p w14:paraId="09C2C67E" w14:textId="77777777" w:rsidR="00B40FB2" w:rsidRDefault="004123C2">
    <w:pPr>
      <w:spacing w:after="137"/>
      <w:ind w:left="0" w:right="70" w:firstLine="0"/>
      <w:jc w:val="center"/>
    </w:pPr>
    <w:r>
      <w:rPr>
        <w:sz w:val="18"/>
      </w:rPr>
      <w:t xml:space="preserve">Page </w:t>
    </w:r>
    <w:r>
      <w:fldChar w:fldCharType="begin"/>
    </w:r>
    <w:r>
      <w:instrText xml:space="preserve"> PAGE   \* MERGEFORMAT </w:instrText>
    </w:r>
    <w:r>
      <w:fldChar w:fldCharType="separate"/>
    </w:r>
    <w:r>
      <w:rPr>
        <w:sz w:val="18"/>
      </w:rPr>
      <w:t>2</w:t>
    </w:r>
    <w:r>
      <w:rPr>
        <w:sz w:val="18"/>
      </w:rPr>
      <w:fldChar w:fldCharType="end"/>
    </w:r>
    <w:r>
      <w:rPr>
        <w:sz w:val="18"/>
      </w:rPr>
      <w:t xml:space="preserve"> </w:t>
    </w:r>
  </w:p>
  <w:p w14:paraId="104577B7" w14:textId="77777777" w:rsidR="00B40FB2" w:rsidRDefault="004123C2">
    <w:pPr>
      <w:spacing w:after="0"/>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366355"/>
      <w:docPartObj>
        <w:docPartGallery w:val="Page Numbers (Bottom of Page)"/>
        <w:docPartUnique/>
      </w:docPartObj>
    </w:sdtPr>
    <w:sdtEndPr>
      <w:rPr>
        <w:noProof/>
      </w:rPr>
    </w:sdtEndPr>
    <w:sdtContent>
      <w:p w14:paraId="28E6C84A" w14:textId="4684BFEC" w:rsidR="00A256D5" w:rsidRDefault="00A256D5" w:rsidP="00A256D5">
        <w:pPr>
          <w:pStyle w:val="Footer"/>
          <w:jc w:val="center"/>
          <w:rPr>
            <w:rFonts w:ascii="Arial" w:eastAsia="Arial" w:hAnsi="Arial" w:cs="Arial"/>
            <w:color w:val="000000"/>
          </w:rPr>
        </w:pPr>
        <w:r>
          <w:rPr>
            <w:rFonts w:ascii="Arial" w:eastAsia="Arial" w:hAnsi="Arial" w:cs="Arial"/>
            <w:noProof/>
            <w:color w:val="000000"/>
          </w:rPr>
          <w:drawing>
            <wp:anchor distT="0" distB="0" distL="114300" distR="114300" simplePos="0" relativeHeight="251660800" behindDoc="0" locked="0" layoutInCell="1" allowOverlap="1" wp14:anchorId="70668AC6" wp14:editId="726C79AC">
              <wp:simplePos x="0" y="0"/>
              <wp:positionH relativeFrom="margin">
                <wp:posOffset>0</wp:posOffset>
              </wp:positionH>
              <wp:positionV relativeFrom="paragraph">
                <wp:posOffset>-2871</wp:posOffset>
              </wp:positionV>
              <wp:extent cx="586740" cy="899795"/>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IBM Plex Sans" w:hAnsi="IBM Plex Sans"/>
            <w:b/>
            <w:sz w:val="16"/>
            <w:szCs w:val="16"/>
          </w:rPr>
          <w:t xml:space="preserve"> </w:t>
        </w:r>
        <w:bookmarkStart w:id="1" w:name="_Hlk26450876"/>
        <w:r>
          <w:rPr>
            <w:rFonts w:ascii="IBM Plex Sans" w:hAnsi="IBM Plex Sans"/>
            <w:b/>
            <w:sz w:val="16"/>
            <w:szCs w:val="16"/>
          </w:rPr>
          <w:t>Liability limited by a scheme approved under the Professional Standards Legislation</w:t>
        </w:r>
        <w:bookmarkEnd w:id="1"/>
      </w:p>
      <w:p w14:paraId="389E8A30" w14:textId="4684BFEC" w:rsidR="00A256D5" w:rsidRDefault="00A256D5" w:rsidP="00A256D5">
        <w:pPr>
          <w:pStyle w:val="Footer"/>
        </w:pPr>
      </w:p>
      <w:p w14:paraId="1DF34A58" w14:textId="35281BF8" w:rsidR="00A07650" w:rsidRDefault="00A256D5" w:rsidP="00A256D5">
        <w:pPr>
          <w:pStyle w:val="Footer"/>
          <w:jc w:val="right"/>
        </w:pPr>
        <w:r>
          <w:t xml:space="preserve"> </w:t>
        </w:r>
        <w:r w:rsidR="00A07650">
          <w:fldChar w:fldCharType="begin"/>
        </w:r>
        <w:r w:rsidR="00A07650">
          <w:instrText xml:space="preserve"> PAGE   \* MERGEFORMAT </w:instrText>
        </w:r>
        <w:r w:rsidR="00A07650">
          <w:fldChar w:fldCharType="separate"/>
        </w:r>
        <w:r w:rsidR="00A07650">
          <w:rPr>
            <w:noProof/>
          </w:rPr>
          <w:t>2</w:t>
        </w:r>
        <w:r w:rsidR="00A07650">
          <w:rPr>
            <w:noProof/>
          </w:rPr>
          <w:fldChar w:fldCharType="end"/>
        </w:r>
      </w:p>
    </w:sdtContent>
  </w:sdt>
  <w:p w14:paraId="6C21A71F" w14:textId="76053EEE" w:rsidR="00B40FB2" w:rsidRDefault="00B40FB2">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E12D0" w14:textId="77777777" w:rsidR="00B40FB2" w:rsidRDefault="00B40FB2">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469B7" w14:textId="77777777" w:rsidR="004614A0" w:rsidRDefault="004614A0">
      <w:pPr>
        <w:spacing w:after="0" w:line="240" w:lineRule="auto"/>
      </w:pPr>
      <w:r>
        <w:separator/>
      </w:r>
    </w:p>
  </w:footnote>
  <w:footnote w:type="continuationSeparator" w:id="0">
    <w:p w14:paraId="1DD85525" w14:textId="77777777" w:rsidR="004614A0" w:rsidRDefault="00461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20CFD" w14:textId="77777777" w:rsidR="00B40FB2" w:rsidRDefault="004123C2">
    <w:pPr>
      <w:spacing w:after="0"/>
      <w:ind w:left="0" w:right="66" w:firstLine="0"/>
      <w:jc w:val="right"/>
    </w:pPr>
    <w:r>
      <w:rPr>
        <w:sz w:val="18"/>
      </w:rPr>
      <w:t xml:space="preserve">LMW Corporate Governance Statement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44994" w14:textId="3EA7EB4E" w:rsidR="00A256D5" w:rsidRDefault="00A256D5" w:rsidP="005B6760">
    <w:pPr>
      <w:spacing w:after="0"/>
      <w:ind w:left="0" w:right="66" w:firstLine="0"/>
      <w:rPr>
        <w:sz w:val="18"/>
      </w:rPr>
    </w:pPr>
    <w:r>
      <w:rPr>
        <w:rFonts w:ascii="IBM Plex Sans Light" w:hAnsi="IBM Plex Sans Light"/>
        <w:b/>
        <w:bCs/>
        <w:noProof/>
        <w:sz w:val="20"/>
      </w:rPr>
      <w:drawing>
        <wp:anchor distT="0" distB="0" distL="114300" distR="114300" simplePos="0" relativeHeight="251658752" behindDoc="0" locked="0" layoutInCell="1" allowOverlap="1" wp14:anchorId="3DBF1DE1" wp14:editId="58D3B046">
          <wp:simplePos x="0" y="0"/>
          <wp:positionH relativeFrom="margin">
            <wp:posOffset>8365490</wp:posOffset>
          </wp:positionH>
          <wp:positionV relativeFrom="paragraph">
            <wp:posOffset>15240</wp:posOffset>
          </wp:positionV>
          <wp:extent cx="539750" cy="461645"/>
          <wp:effectExtent l="0" t="0" r="0" b="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39750" cy="461645"/>
                  </a:xfrm>
                  <a:prstGeom prst="rect">
                    <a:avLst/>
                  </a:prstGeom>
                </pic:spPr>
              </pic:pic>
            </a:graphicData>
          </a:graphic>
        </wp:anchor>
      </w:drawing>
    </w:r>
  </w:p>
  <w:p w14:paraId="30EC7B3C" w14:textId="77777777" w:rsidR="00A256D5" w:rsidRDefault="00A256D5" w:rsidP="005B6760">
    <w:pPr>
      <w:spacing w:after="0"/>
      <w:ind w:left="0" w:right="66" w:firstLine="0"/>
      <w:rPr>
        <w:sz w:val="18"/>
      </w:rPr>
    </w:pPr>
  </w:p>
  <w:p w14:paraId="606B40F6" w14:textId="1F4A3FC1" w:rsidR="00B40FB2" w:rsidRPr="00A256D5" w:rsidRDefault="00F31E38" w:rsidP="00A256D5">
    <w:pPr>
      <w:tabs>
        <w:tab w:val="left" w:pos="4095"/>
      </w:tabs>
      <w:spacing w:after="0"/>
      <w:ind w:left="0" w:right="66" w:firstLine="0"/>
      <w:rPr>
        <w:rFonts w:ascii="IBM Plex Sans" w:hAnsi="IBM Plex Sans"/>
        <w:sz w:val="18"/>
      </w:rPr>
    </w:pPr>
    <w:r w:rsidRPr="00A256D5">
      <w:rPr>
        <w:rFonts w:ascii="IBM Plex Sans" w:hAnsi="IBM Plex Sans"/>
        <w:sz w:val="18"/>
      </w:rPr>
      <w:t>Acumentis</w:t>
    </w:r>
    <w:r w:rsidR="004123C2" w:rsidRPr="00A256D5">
      <w:rPr>
        <w:rFonts w:ascii="IBM Plex Sans" w:hAnsi="IBM Plex Sans"/>
        <w:sz w:val="18"/>
      </w:rPr>
      <w:t xml:space="preserve"> Corporate Governance Statement </w:t>
    </w:r>
    <w:r w:rsidR="00A256D5" w:rsidRPr="00A256D5">
      <w:rPr>
        <w:rFonts w:ascii="IBM Plex Sans" w:hAnsi="IBM Plex Sans"/>
        <w:sz w:val="18"/>
      </w:rPr>
      <w:tab/>
    </w:r>
  </w:p>
  <w:p w14:paraId="7E7C988A" w14:textId="77777777" w:rsidR="00A256D5" w:rsidRDefault="00A256D5" w:rsidP="00A256D5">
    <w:pPr>
      <w:tabs>
        <w:tab w:val="left" w:pos="4095"/>
      </w:tabs>
      <w:spacing w:after="0"/>
      <w:ind w:left="0" w:right="66"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541B5" w14:textId="77777777" w:rsidR="00B40FB2" w:rsidRDefault="00B40FB2">
    <w:pPr>
      <w:spacing w:after="160"/>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2061B"/>
    <w:multiLevelType w:val="hybridMultilevel"/>
    <w:tmpl w:val="F8625F5C"/>
    <w:lvl w:ilvl="0" w:tplc="AF526D64">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5D4DFF6">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6A6A4A">
      <w:start w:val="1"/>
      <w:numFmt w:val="lowerRoman"/>
      <w:lvlText w:val="%3"/>
      <w:lvlJc w:val="left"/>
      <w:pPr>
        <w:ind w:left="1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868872">
      <w:start w:val="1"/>
      <w:numFmt w:val="decimal"/>
      <w:lvlText w:val="%4"/>
      <w:lvlJc w:val="left"/>
      <w:pPr>
        <w:ind w:left="2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9F4C330">
      <w:start w:val="1"/>
      <w:numFmt w:val="lowerLetter"/>
      <w:lvlText w:val="%5"/>
      <w:lvlJc w:val="left"/>
      <w:pPr>
        <w:ind w:left="2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450159A">
      <w:start w:val="1"/>
      <w:numFmt w:val="lowerRoman"/>
      <w:lvlText w:val="%6"/>
      <w:lvlJc w:val="left"/>
      <w:pPr>
        <w:ind w:left="3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C14A49E">
      <w:start w:val="1"/>
      <w:numFmt w:val="decimal"/>
      <w:lvlText w:val="%7"/>
      <w:lvlJc w:val="left"/>
      <w:pPr>
        <w:ind w:left="4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14A1270">
      <w:start w:val="1"/>
      <w:numFmt w:val="lowerLetter"/>
      <w:lvlText w:val="%8"/>
      <w:lvlJc w:val="left"/>
      <w:pPr>
        <w:ind w:left="5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C860340">
      <w:start w:val="1"/>
      <w:numFmt w:val="lowerRoman"/>
      <w:lvlText w:val="%9"/>
      <w:lvlJc w:val="left"/>
      <w:pPr>
        <w:ind w:left="5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3C41FC"/>
    <w:multiLevelType w:val="hybridMultilevel"/>
    <w:tmpl w:val="3BCA3B22"/>
    <w:lvl w:ilvl="0" w:tplc="0EC03518">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A6FA36">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1C86608">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C23BC0">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9C813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18CBC2">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212DED0">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2028D6">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F8016D6">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1F2253E"/>
    <w:multiLevelType w:val="hybridMultilevel"/>
    <w:tmpl w:val="CB5C32F0"/>
    <w:lvl w:ilvl="0" w:tplc="8C9EEE0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004D56">
      <w:start w:val="1"/>
      <w:numFmt w:val="lowerLetter"/>
      <w:lvlText w:val="%2"/>
      <w:lvlJc w:val="left"/>
      <w:pPr>
        <w:ind w:left="1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30A7E82">
      <w:start w:val="1"/>
      <w:numFmt w:val="lowerRoman"/>
      <w:lvlText w:val="%3"/>
      <w:lvlJc w:val="left"/>
      <w:pPr>
        <w:ind w:left="2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9283C8">
      <w:start w:val="1"/>
      <w:numFmt w:val="decimal"/>
      <w:lvlText w:val="%4"/>
      <w:lvlJc w:val="left"/>
      <w:pPr>
        <w:ind w:left="2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EC516A">
      <w:start w:val="1"/>
      <w:numFmt w:val="lowerLetter"/>
      <w:lvlText w:val="%5"/>
      <w:lvlJc w:val="left"/>
      <w:pPr>
        <w:ind w:left="3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DCABB0">
      <w:start w:val="1"/>
      <w:numFmt w:val="lowerRoman"/>
      <w:lvlText w:val="%6"/>
      <w:lvlJc w:val="left"/>
      <w:pPr>
        <w:ind w:left="4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EE6B66E">
      <w:start w:val="1"/>
      <w:numFmt w:val="decimal"/>
      <w:lvlText w:val="%7"/>
      <w:lvlJc w:val="left"/>
      <w:pPr>
        <w:ind w:left="5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0A060DC">
      <w:start w:val="1"/>
      <w:numFmt w:val="lowerLetter"/>
      <w:lvlText w:val="%8"/>
      <w:lvlJc w:val="left"/>
      <w:pPr>
        <w:ind w:left="5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FE0C7EE">
      <w:start w:val="1"/>
      <w:numFmt w:val="lowerRoman"/>
      <w:lvlText w:val="%9"/>
      <w:lvlJc w:val="left"/>
      <w:pPr>
        <w:ind w:left="6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4D32394"/>
    <w:multiLevelType w:val="hybridMultilevel"/>
    <w:tmpl w:val="4C84B76A"/>
    <w:lvl w:ilvl="0" w:tplc="D18C8B98">
      <w:start w:val="1"/>
      <w:numFmt w:val="decimal"/>
      <w:lvlText w:val="%1."/>
      <w:lvlJc w:val="left"/>
      <w:pPr>
        <w:ind w:left="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8DECD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2075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6238F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484A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C46FB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06E0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38447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4CFE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F8027DB"/>
    <w:multiLevelType w:val="hybridMultilevel"/>
    <w:tmpl w:val="54CA3410"/>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5" w15:restartNumberingAfterBreak="0">
    <w:nsid w:val="22BB1FD7"/>
    <w:multiLevelType w:val="hybridMultilevel"/>
    <w:tmpl w:val="65C24A7E"/>
    <w:lvl w:ilvl="0" w:tplc="2D963504">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8A02266">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432E3B0">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16A8502">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02B942">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F74980E">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050DBAA">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44191E">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A4D8A2">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88A711A"/>
    <w:multiLevelType w:val="hybridMultilevel"/>
    <w:tmpl w:val="7C34721E"/>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7" w15:restartNumberingAfterBreak="0">
    <w:nsid w:val="2C186325"/>
    <w:multiLevelType w:val="hybridMultilevel"/>
    <w:tmpl w:val="77DA8BC6"/>
    <w:lvl w:ilvl="0" w:tplc="ADCA9A36">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D9AEACE">
      <w:start w:val="1"/>
      <w:numFmt w:val="lowerRoman"/>
      <w:lvlText w:val="(%2)"/>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6AAA356">
      <w:start w:val="1"/>
      <w:numFmt w:val="lowerRoman"/>
      <w:lvlText w:val="%3"/>
      <w:lvlJc w:val="left"/>
      <w:pPr>
        <w:ind w:left="1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704A86">
      <w:start w:val="1"/>
      <w:numFmt w:val="decimal"/>
      <w:lvlText w:val="%4"/>
      <w:lvlJc w:val="left"/>
      <w:pPr>
        <w:ind w:left="2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E8A004">
      <w:start w:val="1"/>
      <w:numFmt w:val="lowerLetter"/>
      <w:lvlText w:val="%5"/>
      <w:lvlJc w:val="left"/>
      <w:pPr>
        <w:ind w:left="2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EEC3568">
      <w:start w:val="1"/>
      <w:numFmt w:val="lowerRoman"/>
      <w:lvlText w:val="%6"/>
      <w:lvlJc w:val="left"/>
      <w:pPr>
        <w:ind w:left="3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4E6D65A">
      <w:start w:val="1"/>
      <w:numFmt w:val="decimal"/>
      <w:lvlText w:val="%7"/>
      <w:lvlJc w:val="left"/>
      <w:pPr>
        <w:ind w:left="4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BD84F72">
      <w:start w:val="1"/>
      <w:numFmt w:val="lowerLetter"/>
      <w:lvlText w:val="%8"/>
      <w:lvlJc w:val="left"/>
      <w:pPr>
        <w:ind w:left="5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79E7E0A">
      <w:start w:val="1"/>
      <w:numFmt w:val="lowerRoman"/>
      <w:lvlText w:val="%9"/>
      <w:lvlJc w:val="left"/>
      <w:pPr>
        <w:ind w:left="5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951AC3"/>
    <w:multiLevelType w:val="hybridMultilevel"/>
    <w:tmpl w:val="D584C702"/>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9" w15:restartNumberingAfterBreak="0">
    <w:nsid w:val="2EA22975"/>
    <w:multiLevelType w:val="hybridMultilevel"/>
    <w:tmpl w:val="34A61C32"/>
    <w:lvl w:ilvl="0" w:tplc="EDB018FE">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BFA69C0">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B987032">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C947742">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054386E">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AA9388">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081202">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ADEF4FA">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F30F374">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24C3E80"/>
    <w:multiLevelType w:val="hybridMultilevel"/>
    <w:tmpl w:val="D2521A1E"/>
    <w:lvl w:ilvl="0" w:tplc="6E8ECA8A">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DDAE428">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5606F6E">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9E6D4D4">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BE3584">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CE4920">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9E9DCA">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716E858">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8784228">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2DF4119"/>
    <w:multiLevelType w:val="hybridMultilevel"/>
    <w:tmpl w:val="542EEBE0"/>
    <w:lvl w:ilvl="0" w:tplc="A4B2C7BE">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F56701A">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208F894">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9B244C2">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226A058">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D5019D6">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04601D0">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55A1926">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F5E04BA">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4F1BD1"/>
    <w:multiLevelType w:val="hybridMultilevel"/>
    <w:tmpl w:val="A06A89EE"/>
    <w:lvl w:ilvl="0" w:tplc="E70C7DA4">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189DE8">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B1A7EAE">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B443D8">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9C6AE2">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CC05464">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E083ED4">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7A2F5C">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AEB14C">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7643C56"/>
    <w:multiLevelType w:val="hybridMultilevel"/>
    <w:tmpl w:val="BF1E7726"/>
    <w:lvl w:ilvl="0" w:tplc="85045AC4">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ECFE80">
      <w:start w:val="1"/>
      <w:numFmt w:val="bullet"/>
      <w:lvlText w:val="o"/>
      <w:lvlJc w:val="left"/>
      <w:pPr>
        <w:ind w:left="15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B86AD2">
      <w:start w:val="1"/>
      <w:numFmt w:val="bullet"/>
      <w:lvlText w:val="▪"/>
      <w:lvlJc w:val="left"/>
      <w:pPr>
        <w:ind w:left="22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A4359A">
      <w:start w:val="1"/>
      <w:numFmt w:val="bullet"/>
      <w:lvlText w:val="•"/>
      <w:lvlJc w:val="left"/>
      <w:pPr>
        <w:ind w:left="2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5EF1C0">
      <w:start w:val="1"/>
      <w:numFmt w:val="bullet"/>
      <w:lvlText w:val="o"/>
      <w:lvlJc w:val="left"/>
      <w:pPr>
        <w:ind w:left="37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ED64CE2">
      <w:start w:val="1"/>
      <w:numFmt w:val="bullet"/>
      <w:lvlText w:val="▪"/>
      <w:lvlJc w:val="left"/>
      <w:pPr>
        <w:ind w:left="44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9EED75C">
      <w:start w:val="1"/>
      <w:numFmt w:val="bullet"/>
      <w:lvlText w:val="•"/>
      <w:lvlJc w:val="left"/>
      <w:pPr>
        <w:ind w:left="5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0E20E2">
      <w:start w:val="1"/>
      <w:numFmt w:val="bullet"/>
      <w:lvlText w:val="o"/>
      <w:lvlJc w:val="left"/>
      <w:pPr>
        <w:ind w:left="58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3CCDE8A">
      <w:start w:val="1"/>
      <w:numFmt w:val="bullet"/>
      <w:lvlText w:val="▪"/>
      <w:lvlJc w:val="left"/>
      <w:pPr>
        <w:ind w:left="65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122070"/>
    <w:multiLevelType w:val="hybridMultilevel"/>
    <w:tmpl w:val="28C8060A"/>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15" w15:restartNumberingAfterBreak="0">
    <w:nsid w:val="39E53E62"/>
    <w:multiLevelType w:val="hybridMultilevel"/>
    <w:tmpl w:val="E03292B0"/>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16" w15:restartNumberingAfterBreak="0">
    <w:nsid w:val="3BD23371"/>
    <w:multiLevelType w:val="hybridMultilevel"/>
    <w:tmpl w:val="54604144"/>
    <w:lvl w:ilvl="0" w:tplc="4372C3BA">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8AC74">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EE559E">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140F856">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EE960">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4A27F5E">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978B0C8">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A0B56C">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746D68">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C107DCA"/>
    <w:multiLevelType w:val="hybridMultilevel"/>
    <w:tmpl w:val="084CB206"/>
    <w:lvl w:ilvl="0" w:tplc="36B2CFB2">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1B4439A">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C1ECFF6">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4260390">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EC6A30">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460CAFC">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8EE68CE">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5CFDAE">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AA8D4C0">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2E7CA6"/>
    <w:multiLevelType w:val="hybridMultilevel"/>
    <w:tmpl w:val="60D66F7E"/>
    <w:lvl w:ilvl="0" w:tplc="B4D02CF6">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124968">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ECE4846">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882353A">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EA56DE">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8EC430">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5765A92">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9ED282">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CB3FE">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524E5B"/>
    <w:multiLevelType w:val="hybridMultilevel"/>
    <w:tmpl w:val="8F0C6CAC"/>
    <w:lvl w:ilvl="0" w:tplc="A282CFCA">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6E69A12">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C4AD3A">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B629B8">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7E60B70">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8725536">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92A90C8">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9E7B7E">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770D5B6">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4C0360E"/>
    <w:multiLevelType w:val="hybridMultilevel"/>
    <w:tmpl w:val="DDEE9650"/>
    <w:lvl w:ilvl="0" w:tplc="2018962A">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176A0DE">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C320EA6">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68F5B8">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A1EF9DA">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0AC0F4">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E859AE">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987ABC">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D969196">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B9610DC"/>
    <w:multiLevelType w:val="hybridMultilevel"/>
    <w:tmpl w:val="178A9072"/>
    <w:lvl w:ilvl="0" w:tplc="E7869A04">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ECBA3A">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524DF0">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6A6770">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549242">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EEC990A">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14A084">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6AB3B8">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4626DA">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D1F5966"/>
    <w:multiLevelType w:val="hybridMultilevel"/>
    <w:tmpl w:val="F19C7DA2"/>
    <w:lvl w:ilvl="0" w:tplc="06FEC270">
      <w:start w:val="1"/>
      <w:numFmt w:val="bullet"/>
      <w:lvlText w:val=""/>
      <w:lvlJc w:val="left"/>
      <w:pPr>
        <w:ind w:left="1082" w:hanging="360"/>
      </w:pPr>
      <w:rPr>
        <w:rFonts w:ascii="Symbol" w:hAnsi="Symbol" w:hint="default"/>
        <w:color w:val="15420C"/>
      </w:rPr>
    </w:lvl>
    <w:lvl w:ilvl="1" w:tplc="0C090003" w:tentative="1">
      <w:start w:val="1"/>
      <w:numFmt w:val="bullet"/>
      <w:lvlText w:val="o"/>
      <w:lvlJc w:val="left"/>
      <w:pPr>
        <w:ind w:left="1802" w:hanging="360"/>
      </w:pPr>
      <w:rPr>
        <w:rFonts w:ascii="Courier New" w:hAnsi="Courier New" w:cs="Courier New" w:hint="default"/>
      </w:rPr>
    </w:lvl>
    <w:lvl w:ilvl="2" w:tplc="0C090005" w:tentative="1">
      <w:start w:val="1"/>
      <w:numFmt w:val="bullet"/>
      <w:lvlText w:val=""/>
      <w:lvlJc w:val="left"/>
      <w:pPr>
        <w:ind w:left="2522" w:hanging="360"/>
      </w:pPr>
      <w:rPr>
        <w:rFonts w:ascii="Wingdings" w:hAnsi="Wingdings" w:hint="default"/>
      </w:rPr>
    </w:lvl>
    <w:lvl w:ilvl="3" w:tplc="0C090001" w:tentative="1">
      <w:start w:val="1"/>
      <w:numFmt w:val="bullet"/>
      <w:lvlText w:val=""/>
      <w:lvlJc w:val="left"/>
      <w:pPr>
        <w:ind w:left="3242" w:hanging="360"/>
      </w:pPr>
      <w:rPr>
        <w:rFonts w:ascii="Symbol" w:hAnsi="Symbol" w:hint="default"/>
      </w:rPr>
    </w:lvl>
    <w:lvl w:ilvl="4" w:tplc="0C090003" w:tentative="1">
      <w:start w:val="1"/>
      <w:numFmt w:val="bullet"/>
      <w:lvlText w:val="o"/>
      <w:lvlJc w:val="left"/>
      <w:pPr>
        <w:ind w:left="3962" w:hanging="360"/>
      </w:pPr>
      <w:rPr>
        <w:rFonts w:ascii="Courier New" w:hAnsi="Courier New" w:cs="Courier New" w:hint="default"/>
      </w:rPr>
    </w:lvl>
    <w:lvl w:ilvl="5" w:tplc="0C090005" w:tentative="1">
      <w:start w:val="1"/>
      <w:numFmt w:val="bullet"/>
      <w:lvlText w:val=""/>
      <w:lvlJc w:val="left"/>
      <w:pPr>
        <w:ind w:left="4682" w:hanging="360"/>
      </w:pPr>
      <w:rPr>
        <w:rFonts w:ascii="Wingdings" w:hAnsi="Wingdings" w:hint="default"/>
      </w:rPr>
    </w:lvl>
    <w:lvl w:ilvl="6" w:tplc="0C090001" w:tentative="1">
      <w:start w:val="1"/>
      <w:numFmt w:val="bullet"/>
      <w:lvlText w:val=""/>
      <w:lvlJc w:val="left"/>
      <w:pPr>
        <w:ind w:left="5402" w:hanging="360"/>
      </w:pPr>
      <w:rPr>
        <w:rFonts w:ascii="Symbol" w:hAnsi="Symbol" w:hint="default"/>
      </w:rPr>
    </w:lvl>
    <w:lvl w:ilvl="7" w:tplc="0C090003" w:tentative="1">
      <w:start w:val="1"/>
      <w:numFmt w:val="bullet"/>
      <w:lvlText w:val="o"/>
      <w:lvlJc w:val="left"/>
      <w:pPr>
        <w:ind w:left="6122" w:hanging="360"/>
      </w:pPr>
      <w:rPr>
        <w:rFonts w:ascii="Courier New" w:hAnsi="Courier New" w:cs="Courier New" w:hint="default"/>
      </w:rPr>
    </w:lvl>
    <w:lvl w:ilvl="8" w:tplc="0C090005" w:tentative="1">
      <w:start w:val="1"/>
      <w:numFmt w:val="bullet"/>
      <w:lvlText w:val=""/>
      <w:lvlJc w:val="left"/>
      <w:pPr>
        <w:ind w:left="6842" w:hanging="360"/>
      </w:pPr>
      <w:rPr>
        <w:rFonts w:ascii="Wingdings" w:hAnsi="Wingdings" w:hint="default"/>
      </w:rPr>
    </w:lvl>
  </w:abstractNum>
  <w:abstractNum w:abstractNumId="23" w15:restartNumberingAfterBreak="0">
    <w:nsid w:val="542E290A"/>
    <w:multiLevelType w:val="hybridMultilevel"/>
    <w:tmpl w:val="2CEA774E"/>
    <w:lvl w:ilvl="0" w:tplc="7894544E">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4CE33A">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57A0860">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F0CE6A">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EEA8A1C">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F648EAA">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9DC5DAC">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77CD6F2">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686A66">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9960FB9"/>
    <w:multiLevelType w:val="hybridMultilevel"/>
    <w:tmpl w:val="C8921802"/>
    <w:lvl w:ilvl="0" w:tplc="06FEC270">
      <w:start w:val="1"/>
      <w:numFmt w:val="bullet"/>
      <w:lvlText w:val=""/>
      <w:lvlJc w:val="left"/>
      <w:pPr>
        <w:ind w:left="722"/>
      </w:pPr>
      <w:rPr>
        <w:rFonts w:ascii="Symbol" w:hAnsi="Symbol" w:hint="default"/>
        <w:b w:val="0"/>
        <w:i w:val="0"/>
        <w:strike w:val="0"/>
        <w:dstrike w:val="0"/>
        <w:color w:val="15420C"/>
        <w:sz w:val="20"/>
        <w:szCs w:val="20"/>
        <w:u w:val="none" w:color="000000"/>
        <w:bdr w:val="none" w:sz="0" w:space="0" w:color="auto"/>
        <w:shd w:val="clear" w:color="auto" w:fill="auto"/>
        <w:vertAlign w:val="baseline"/>
      </w:rPr>
    </w:lvl>
    <w:lvl w:ilvl="1" w:tplc="2BA6FA36">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1C86608">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C23BC0">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9C813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18CBC2">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212DED0">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2028D6">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F8016D6">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C9630FD"/>
    <w:multiLevelType w:val="hybridMultilevel"/>
    <w:tmpl w:val="2C0669BA"/>
    <w:lvl w:ilvl="0" w:tplc="91B07ED0">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B5AD4EA">
      <w:start w:val="1"/>
      <w:numFmt w:val="lowerRoman"/>
      <w:lvlText w:val="(%2)"/>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4487FEA">
      <w:start w:val="1"/>
      <w:numFmt w:val="lowerRoman"/>
      <w:lvlText w:val="%3"/>
      <w:lvlJc w:val="left"/>
      <w:pPr>
        <w:ind w:left="1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CA40DA">
      <w:start w:val="1"/>
      <w:numFmt w:val="decimal"/>
      <w:lvlText w:val="%4"/>
      <w:lvlJc w:val="left"/>
      <w:pPr>
        <w:ind w:left="2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1E08634">
      <w:start w:val="1"/>
      <w:numFmt w:val="lowerLetter"/>
      <w:lvlText w:val="%5"/>
      <w:lvlJc w:val="left"/>
      <w:pPr>
        <w:ind w:left="2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19CCDEC">
      <w:start w:val="1"/>
      <w:numFmt w:val="lowerRoman"/>
      <w:lvlText w:val="%6"/>
      <w:lvlJc w:val="left"/>
      <w:pPr>
        <w:ind w:left="3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14F40A">
      <w:start w:val="1"/>
      <w:numFmt w:val="decimal"/>
      <w:lvlText w:val="%7"/>
      <w:lvlJc w:val="left"/>
      <w:pPr>
        <w:ind w:left="4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BFC5428">
      <w:start w:val="1"/>
      <w:numFmt w:val="lowerLetter"/>
      <w:lvlText w:val="%8"/>
      <w:lvlJc w:val="left"/>
      <w:pPr>
        <w:ind w:left="5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0612BA">
      <w:start w:val="1"/>
      <w:numFmt w:val="lowerRoman"/>
      <w:lvlText w:val="%9"/>
      <w:lvlJc w:val="left"/>
      <w:pPr>
        <w:ind w:left="5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27C6BC1"/>
    <w:multiLevelType w:val="hybridMultilevel"/>
    <w:tmpl w:val="55F6457A"/>
    <w:lvl w:ilvl="0" w:tplc="A6E6345E">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128AD3C">
      <w:start w:val="1"/>
      <w:numFmt w:val="decimal"/>
      <w:lvlText w:val="(%2)"/>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FD462B2">
      <w:start w:val="1"/>
      <w:numFmt w:val="lowerRoman"/>
      <w:lvlText w:val="%3"/>
      <w:lvlJc w:val="left"/>
      <w:pPr>
        <w:ind w:left="1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91AF9A4">
      <w:start w:val="1"/>
      <w:numFmt w:val="decimal"/>
      <w:lvlText w:val="%4"/>
      <w:lvlJc w:val="left"/>
      <w:pPr>
        <w:ind w:left="2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D45448">
      <w:start w:val="1"/>
      <w:numFmt w:val="lowerLetter"/>
      <w:lvlText w:val="%5"/>
      <w:lvlJc w:val="left"/>
      <w:pPr>
        <w:ind w:left="2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E47210">
      <w:start w:val="1"/>
      <w:numFmt w:val="lowerRoman"/>
      <w:lvlText w:val="%6"/>
      <w:lvlJc w:val="left"/>
      <w:pPr>
        <w:ind w:left="3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1C201FC">
      <w:start w:val="1"/>
      <w:numFmt w:val="decimal"/>
      <w:lvlText w:val="%7"/>
      <w:lvlJc w:val="left"/>
      <w:pPr>
        <w:ind w:left="4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7E2CC62">
      <w:start w:val="1"/>
      <w:numFmt w:val="lowerLetter"/>
      <w:lvlText w:val="%8"/>
      <w:lvlJc w:val="left"/>
      <w:pPr>
        <w:ind w:left="5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64A234">
      <w:start w:val="1"/>
      <w:numFmt w:val="lowerRoman"/>
      <w:lvlText w:val="%9"/>
      <w:lvlJc w:val="left"/>
      <w:pPr>
        <w:ind w:left="5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3207D17"/>
    <w:multiLevelType w:val="hybridMultilevel"/>
    <w:tmpl w:val="41326ED2"/>
    <w:lvl w:ilvl="0" w:tplc="DBD6575C">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D63926">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442EC9A">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6000804">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4A5C74">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4606F8">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AB696D6">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EE8B1E">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0C4D9DA">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68B32C8"/>
    <w:multiLevelType w:val="hybridMultilevel"/>
    <w:tmpl w:val="AF76E76A"/>
    <w:lvl w:ilvl="0" w:tplc="7898F7BE">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24E4FA">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C5ABD48">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20868A">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4409B4">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5C2D1A4">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827FE0">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AE1432">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62E71C0">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68D03AD"/>
    <w:multiLevelType w:val="hybridMultilevel"/>
    <w:tmpl w:val="594411A0"/>
    <w:lvl w:ilvl="0" w:tplc="9D1A9708">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5C0C44">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CD06942">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DDA53D6">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3BCEC0A">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A238B6">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B3C7386">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112A2CC">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2882D82">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41768F1"/>
    <w:multiLevelType w:val="hybridMultilevel"/>
    <w:tmpl w:val="7DFA75DC"/>
    <w:lvl w:ilvl="0" w:tplc="1552447E">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822C30">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E9EC4DE">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A86AA18">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7C751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F4073DA">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C986B8A">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C25EC6">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4C0D74">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74D0CF8"/>
    <w:multiLevelType w:val="hybridMultilevel"/>
    <w:tmpl w:val="709CA81E"/>
    <w:lvl w:ilvl="0" w:tplc="2FD42188">
      <w:start w:val="1"/>
      <w:numFmt w:val="lowerLetter"/>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DCEE25C">
      <w:start w:val="1"/>
      <w:numFmt w:val="lowerLetter"/>
      <w:lvlText w:val="%2"/>
      <w:lvlJc w:val="left"/>
      <w:pPr>
        <w:ind w:left="1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7EB2D4">
      <w:start w:val="1"/>
      <w:numFmt w:val="lowerRoman"/>
      <w:lvlText w:val="%3"/>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516242E">
      <w:start w:val="1"/>
      <w:numFmt w:val="decimal"/>
      <w:lvlText w:val="%4"/>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B54365C">
      <w:start w:val="1"/>
      <w:numFmt w:val="lowerLetter"/>
      <w:lvlText w:val="%5"/>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1FA1EDC">
      <w:start w:val="1"/>
      <w:numFmt w:val="lowerRoman"/>
      <w:lvlText w:val="%6"/>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0BE426C">
      <w:start w:val="1"/>
      <w:numFmt w:val="decimal"/>
      <w:lvlText w:val="%7"/>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3CE1C66">
      <w:start w:val="1"/>
      <w:numFmt w:val="lowerLetter"/>
      <w:lvlText w:val="%8"/>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27E8D8C">
      <w:start w:val="1"/>
      <w:numFmt w:val="lowerRoman"/>
      <w:lvlText w:val="%9"/>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5"/>
  </w:num>
  <w:num w:numId="3">
    <w:abstractNumId w:val="13"/>
  </w:num>
  <w:num w:numId="4">
    <w:abstractNumId w:val="31"/>
  </w:num>
  <w:num w:numId="5">
    <w:abstractNumId w:val="25"/>
  </w:num>
  <w:num w:numId="6">
    <w:abstractNumId w:val="23"/>
  </w:num>
  <w:num w:numId="7">
    <w:abstractNumId w:val="9"/>
  </w:num>
  <w:num w:numId="8">
    <w:abstractNumId w:val="7"/>
  </w:num>
  <w:num w:numId="9">
    <w:abstractNumId w:val="28"/>
  </w:num>
  <w:num w:numId="10">
    <w:abstractNumId w:val="16"/>
  </w:num>
  <w:num w:numId="11">
    <w:abstractNumId w:val="20"/>
  </w:num>
  <w:num w:numId="12">
    <w:abstractNumId w:val="21"/>
  </w:num>
  <w:num w:numId="13">
    <w:abstractNumId w:val="29"/>
  </w:num>
  <w:num w:numId="14">
    <w:abstractNumId w:val="2"/>
  </w:num>
  <w:num w:numId="15">
    <w:abstractNumId w:val="12"/>
  </w:num>
  <w:num w:numId="16">
    <w:abstractNumId w:val="10"/>
  </w:num>
  <w:num w:numId="17">
    <w:abstractNumId w:val="18"/>
  </w:num>
  <w:num w:numId="18">
    <w:abstractNumId w:val="27"/>
  </w:num>
  <w:num w:numId="19">
    <w:abstractNumId w:val="0"/>
  </w:num>
  <w:num w:numId="20">
    <w:abstractNumId w:val="30"/>
  </w:num>
  <w:num w:numId="21">
    <w:abstractNumId w:val="19"/>
  </w:num>
  <w:num w:numId="22">
    <w:abstractNumId w:val="11"/>
  </w:num>
  <w:num w:numId="23">
    <w:abstractNumId w:val="26"/>
  </w:num>
  <w:num w:numId="24">
    <w:abstractNumId w:val="1"/>
  </w:num>
  <w:num w:numId="25">
    <w:abstractNumId w:val="17"/>
  </w:num>
  <w:num w:numId="26">
    <w:abstractNumId w:val="14"/>
  </w:num>
  <w:num w:numId="27">
    <w:abstractNumId w:val="8"/>
  </w:num>
  <w:num w:numId="28">
    <w:abstractNumId w:val="24"/>
  </w:num>
  <w:num w:numId="29">
    <w:abstractNumId w:val="15"/>
  </w:num>
  <w:num w:numId="30">
    <w:abstractNumId w:val="22"/>
  </w:num>
  <w:num w:numId="31">
    <w:abstractNumId w:val="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409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FB2"/>
    <w:rsid w:val="000723C5"/>
    <w:rsid w:val="00126205"/>
    <w:rsid w:val="001B3643"/>
    <w:rsid w:val="002443BC"/>
    <w:rsid w:val="003E359B"/>
    <w:rsid w:val="004123C2"/>
    <w:rsid w:val="004614A0"/>
    <w:rsid w:val="0047338A"/>
    <w:rsid w:val="004E60EF"/>
    <w:rsid w:val="00595F31"/>
    <w:rsid w:val="005B6760"/>
    <w:rsid w:val="00611543"/>
    <w:rsid w:val="00653AFB"/>
    <w:rsid w:val="00662258"/>
    <w:rsid w:val="0078013B"/>
    <w:rsid w:val="0078537D"/>
    <w:rsid w:val="00824355"/>
    <w:rsid w:val="008B0A11"/>
    <w:rsid w:val="008C1D7C"/>
    <w:rsid w:val="00972A78"/>
    <w:rsid w:val="00A07650"/>
    <w:rsid w:val="00A256D5"/>
    <w:rsid w:val="00A73545"/>
    <w:rsid w:val="00A77E6B"/>
    <w:rsid w:val="00B204EF"/>
    <w:rsid w:val="00B40FB2"/>
    <w:rsid w:val="00B8186C"/>
    <w:rsid w:val="00BA705D"/>
    <w:rsid w:val="00CB2BD5"/>
    <w:rsid w:val="00CB7ADF"/>
    <w:rsid w:val="00D442AA"/>
    <w:rsid w:val="00D849CA"/>
    <w:rsid w:val="00E65386"/>
    <w:rsid w:val="00F31E38"/>
    <w:rsid w:val="00F43050"/>
    <w:rsid w:val="00FD2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7E156C07"/>
  <w15:docId w15:val="{92D95A14-1A06-478B-B563-CF881C937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03"/>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0" w:right="234" w:hanging="10"/>
      <w:jc w:val="right"/>
      <w:outlineLvl w:val="0"/>
    </w:pPr>
    <w:rPr>
      <w:rFonts w:ascii="Calibri" w:eastAsia="Calibri" w:hAnsi="Calibri" w:cs="Calibri"/>
      <w:color w:val="3BA2A1"/>
      <w:sz w:val="56"/>
    </w:rPr>
  </w:style>
  <w:style w:type="paragraph" w:styleId="Heading2">
    <w:name w:val="heading 2"/>
    <w:next w:val="Normal"/>
    <w:link w:val="Heading2Char"/>
    <w:uiPriority w:val="9"/>
    <w:unhideWhenUsed/>
    <w:qFormat/>
    <w:pPr>
      <w:keepNext/>
      <w:keepLines/>
      <w:spacing w:after="147"/>
      <w:ind w:left="10" w:hanging="10"/>
      <w:outlineLvl w:val="1"/>
    </w:pPr>
    <w:rPr>
      <w:rFonts w:ascii="Calibri" w:eastAsia="Calibri" w:hAnsi="Calibri" w:cs="Calibri"/>
      <w:color w:val="3BA2A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3BA2A1"/>
      <w:sz w:val="28"/>
    </w:rPr>
  </w:style>
  <w:style w:type="character" w:customStyle="1" w:styleId="Heading1Char">
    <w:name w:val="Heading 1 Char"/>
    <w:link w:val="Heading1"/>
    <w:rPr>
      <w:rFonts w:ascii="Calibri" w:eastAsia="Calibri" w:hAnsi="Calibri" w:cs="Calibri"/>
      <w:color w:val="3BA2A1"/>
      <w:sz w:val="5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115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543"/>
    <w:rPr>
      <w:rFonts w:ascii="Segoe UI" w:eastAsia="Calibri" w:hAnsi="Segoe UI" w:cs="Segoe UI"/>
      <w:color w:val="000000"/>
      <w:sz w:val="18"/>
      <w:szCs w:val="18"/>
    </w:rPr>
  </w:style>
  <w:style w:type="table" w:styleId="PlainTable2">
    <w:name w:val="Plain Table 2"/>
    <w:basedOn w:val="TableNormal"/>
    <w:uiPriority w:val="42"/>
    <w:rsid w:val="00F4305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A07650"/>
    <w:pPr>
      <w:tabs>
        <w:tab w:val="center" w:pos="4680"/>
        <w:tab w:val="right" w:pos="9360"/>
      </w:tabs>
      <w:spacing w:after="0" w:line="240" w:lineRule="auto"/>
      <w:ind w:left="0" w:firstLine="0"/>
    </w:pPr>
    <w:rPr>
      <w:rFonts w:asciiTheme="minorHAnsi" w:eastAsiaTheme="minorEastAsia" w:hAnsiTheme="minorHAnsi" w:cs="Times New Roman"/>
      <w:color w:val="auto"/>
      <w:lang w:val="en-US" w:eastAsia="en-US"/>
    </w:rPr>
  </w:style>
  <w:style w:type="character" w:customStyle="1" w:styleId="FooterChar">
    <w:name w:val="Footer Char"/>
    <w:basedOn w:val="DefaultParagraphFont"/>
    <w:link w:val="Footer"/>
    <w:uiPriority w:val="99"/>
    <w:rsid w:val="00A07650"/>
    <w:rPr>
      <w:rFonts w:cs="Times New Roman"/>
      <w:lang w:val="en-US" w:eastAsia="en-US"/>
    </w:rPr>
  </w:style>
  <w:style w:type="paragraph" w:styleId="ListParagraph">
    <w:name w:val="List Paragraph"/>
    <w:basedOn w:val="Normal"/>
    <w:uiPriority w:val="34"/>
    <w:qFormat/>
    <w:rsid w:val="003E359B"/>
    <w:pPr>
      <w:ind w:left="720"/>
      <w:contextualSpacing/>
    </w:pPr>
  </w:style>
  <w:style w:type="table" w:styleId="TableGrid0">
    <w:name w:val="Table Grid"/>
    <w:basedOn w:val="TableNormal"/>
    <w:uiPriority w:val="39"/>
    <w:rsid w:val="003E3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031777">
      <w:bodyDiv w:val="1"/>
      <w:marLeft w:val="0"/>
      <w:marRight w:val="0"/>
      <w:marTop w:val="0"/>
      <w:marBottom w:val="0"/>
      <w:divBdr>
        <w:top w:val="none" w:sz="0" w:space="0" w:color="auto"/>
        <w:left w:val="none" w:sz="0" w:space="0" w:color="auto"/>
        <w:bottom w:val="none" w:sz="0" w:space="0" w:color="auto"/>
        <w:right w:val="none" w:sz="0" w:space="0" w:color="auto"/>
      </w:divBdr>
    </w:div>
    <w:div w:id="1141382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mw.com.au/investor-center/annual-reports/" TargetMode="External"/><Relationship Id="rId18" Type="http://schemas.openxmlformats.org/officeDocument/2006/relationships/hyperlink" Target="https://www.lmw.com.au/investor-center/annual-reports/" TargetMode="External"/><Relationship Id="rId26" Type="http://schemas.openxmlformats.org/officeDocument/2006/relationships/hyperlink" Target="https://www.lmw.com.au/investor-center/corporate-governance/" TargetMode="External"/><Relationship Id="rId39" Type="http://schemas.openxmlformats.org/officeDocument/2006/relationships/hyperlink" Target="https://www.lmw.com.au/media/1253/continuous-disclosure-policy-procedures.pdf" TargetMode="External"/><Relationship Id="rId21" Type="http://schemas.openxmlformats.org/officeDocument/2006/relationships/hyperlink" Target="https://www.lmw.com.au/investor-center/board-of-directors/" TargetMode="External"/><Relationship Id="rId34" Type="http://schemas.openxmlformats.org/officeDocument/2006/relationships/hyperlink" Target="https://www.lmw.com.au/media/1251/external-auditor-appointment-procedure.pdf" TargetMode="External"/><Relationship Id="rId42" Type="http://schemas.openxmlformats.org/officeDocument/2006/relationships/hyperlink" Target="https://www.lmw.com.au/investor-center/corporate-governance/" TargetMode="External"/><Relationship Id="rId47" Type="http://schemas.openxmlformats.org/officeDocument/2006/relationships/hyperlink" Target="https://automic.com.au/" TargetMode="External"/><Relationship Id="rId50" Type="http://schemas.openxmlformats.org/officeDocument/2006/relationships/hyperlink" Target="https://www.lmw.com.au/media/1527/audit-and-risk-committee-charter-march-2018.pdf" TargetMode="External"/><Relationship Id="rId55" Type="http://schemas.openxmlformats.org/officeDocument/2006/relationships/hyperlink" Target="https://www.lmw.com.au/media/1256/nomination-and-remuneration-committee-charter.pdf"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mw.com.au/media/1256/nomination-and-remuneration-committee-charter.pdf" TargetMode="External"/><Relationship Id="rId29" Type="http://schemas.openxmlformats.org/officeDocument/2006/relationships/hyperlink" Target="https://www.lmw.com.au/media/1527/audit-and-risk-committee-charter-march-201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mw.com.au/media/1255/landmark-white-ltd-diversity-policy.pdf" TargetMode="External"/><Relationship Id="rId24" Type="http://schemas.openxmlformats.org/officeDocument/2006/relationships/hyperlink" Target="https://www.lmw.com.au/media/1252/directors-code-of-ethics.pdf" TargetMode="External"/><Relationship Id="rId32" Type="http://schemas.openxmlformats.org/officeDocument/2006/relationships/hyperlink" Target="https://www.lmw.com.au/media/1527/audit-and-risk-committee-charter-march-2018.pdf" TargetMode="External"/><Relationship Id="rId37" Type="http://schemas.openxmlformats.org/officeDocument/2006/relationships/hyperlink" Target="https://www.lmw.com.au/media/1251/external-auditor-appointment-procedure.pdf" TargetMode="External"/><Relationship Id="rId40" Type="http://schemas.openxmlformats.org/officeDocument/2006/relationships/hyperlink" Target="http://www.lmw.com.au/" TargetMode="External"/><Relationship Id="rId45" Type="http://schemas.openxmlformats.org/officeDocument/2006/relationships/hyperlink" Target="http://www.lmw.com.au/" TargetMode="External"/><Relationship Id="rId53" Type="http://schemas.openxmlformats.org/officeDocument/2006/relationships/hyperlink" Target="https://www.lmw.com.au/media/1298/corporate-responsibility-policy-esg.pdf" TargetMode="External"/><Relationship Id="rId58" Type="http://schemas.openxmlformats.org/officeDocument/2006/relationships/hyperlink" Target="https://www.lmw.com.au/media/1256/nomination-and-remuneration-committee-charter.pdf" TargetMode="External"/><Relationship Id="rId66"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lmw.com.au/media/1256/nomination-and-remuneration-committee-charter.pdf" TargetMode="External"/><Relationship Id="rId23" Type="http://schemas.openxmlformats.org/officeDocument/2006/relationships/hyperlink" Target="https://www.lmw.com.au/media/1252/directors-code-of-ethics.pdf" TargetMode="External"/><Relationship Id="rId28" Type="http://schemas.openxmlformats.org/officeDocument/2006/relationships/hyperlink" Target="https://www.lmw.com.au/media/1527/audit-and-risk-committee-charter-march-2018.pdf" TargetMode="External"/><Relationship Id="rId36" Type="http://schemas.openxmlformats.org/officeDocument/2006/relationships/hyperlink" Target="https://www.lmw.com.au/media/1251/external-auditor-appointment-procedure.pdf" TargetMode="External"/><Relationship Id="rId49" Type="http://schemas.openxmlformats.org/officeDocument/2006/relationships/hyperlink" Target="https://automic.com.au/" TargetMode="External"/><Relationship Id="rId57" Type="http://schemas.openxmlformats.org/officeDocument/2006/relationships/hyperlink" Target="https://www.lmw.com.au/media/1256/nomination-and-remuneration-committee-charter.pdf" TargetMode="External"/><Relationship Id="rId61" Type="http://schemas.openxmlformats.org/officeDocument/2006/relationships/header" Target="header1.xml"/><Relationship Id="rId10" Type="http://schemas.openxmlformats.org/officeDocument/2006/relationships/hyperlink" Target="https://www.lmw.com.au/investor-center/board-of-directors/" TargetMode="External"/><Relationship Id="rId19" Type="http://schemas.openxmlformats.org/officeDocument/2006/relationships/hyperlink" Target="https://www.lmw.com.au/investor-center/annual-reports/" TargetMode="External"/><Relationship Id="rId31" Type="http://schemas.openxmlformats.org/officeDocument/2006/relationships/hyperlink" Target="https://www.lmw.com.au/investor-center/annual-reports/" TargetMode="External"/><Relationship Id="rId44" Type="http://schemas.openxmlformats.org/officeDocument/2006/relationships/hyperlink" Target="http://www.lmw.com.au/" TargetMode="External"/><Relationship Id="rId52" Type="http://schemas.openxmlformats.org/officeDocument/2006/relationships/hyperlink" Target="https://www.lmw.com.au/media/1527/audit-and-risk-committee-charter-march-2018.pdf" TargetMode="External"/><Relationship Id="rId60" Type="http://schemas.openxmlformats.org/officeDocument/2006/relationships/hyperlink" Target="https://www.lmw.com.au/media/1258/share-trading-policy.pdf" TargetMode="External"/><Relationship Id="rId65"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lmw.com.au/investor-center/board-of-directors/" TargetMode="External"/><Relationship Id="rId14" Type="http://schemas.openxmlformats.org/officeDocument/2006/relationships/hyperlink" Target="https://www.lmw.com.au/investor-center/annual-reports/" TargetMode="External"/><Relationship Id="rId22" Type="http://schemas.openxmlformats.org/officeDocument/2006/relationships/hyperlink" Target="https://www.lmw.com.au/investor-center/board-of-directors/" TargetMode="External"/><Relationship Id="rId27" Type="http://schemas.openxmlformats.org/officeDocument/2006/relationships/hyperlink" Target="https://www.lmw.com.au/media/1527/audit-and-risk-committee-charter-march-2018.pdf" TargetMode="External"/><Relationship Id="rId30" Type="http://schemas.openxmlformats.org/officeDocument/2006/relationships/hyperlink" Target="https://www.lmw.com.au/investor-center/annual-reports/" TargetMode="External"/><Relationship Id="rId35" Type="http://schemas.openxmlformats.org/officeDocument/2006/relationships/hyperlink" Target="https://www.lmw.com.au/media/1251/external-auditor-appointment-procedure.pdf" TargetMode="External"/><Relationship Id="rId43" Type="http://schemas.openxmlformats.org/officeDocument/2006/relationships/hyperlink" Target="https://www.lmw.com.au/investor-center/corporate-governance/" TargetMode="External"/><Relationship Id="rId48" Type="http://schemas.openxmlformats.org/officeDocument/2006/relationships/hyperlink" Target="https://automic.com.au/" TargetMode="External"/><Relationship Id="rId56" Type="http://schemas.openxmlformats.org/officeDocument/2006/relationships/hyperlink" Target="https://www.lmw.com.au/media/1256/nomination-and-remuneration-committee-charter.pdf" TargetMode="External"/><Relationship Id="rId64" Type="http://schemas.openxmlformats.org/officeDocument/2006/relationships/footer" Target="footer2.xml"/><Relationship Id="rId8" Type="http://schemas.openxmlformats.org/officeDocument/2006/relationships/hyperlink" Target="https://www.lmw.com.au/investor-center/board-of-directors/" TargetMode="External"/><Relationship Id="rId51" Type="http://schemas.openxmlformats.org/officeDocument/2006/relationships/hyperlink" Target="https://www.lmw.com.au/media/1527/audit-and-risk-committee-charter-march-2018.pdf" TargetMode="External"/><Relationship Id="rId3" Type="http://schemas.openxmlformats.org/officeDocument/2006/relationships/settings" Target="settings.xml"/><Relationship Id="rId12" Type="http://schemas.openxmlformats.org/officeDocument/2006/relationships/hyperlink" Target="https://www.lmw.com.au/media/1255/landmark-white-ltd-diversity-policy.pdf" TargetMode="External"/><Relationship Id="rId17" Type="http://schemas.openxmlformats.org/officeDocument/2006/relationships/hyperlink" Target="https://www.lmw.com.au/investor-center/annual-reports/" TargetMode="External"/><Relationship Id="rId25" Type="http://schemas.openxmlformats.org/officeDocument/2006/relationships/hyperlink" Target="https://www.lmw.com.au/investor-center/corporate-governance/" TargetMode="External"/><Relationship Id="rId33" Type="http://schemas.openxmlformats.org/officeDocument/2006/relationships/hyperlink" Target="https://www.lmw.com.au/media/1527/audit-and-risk-committee-charter-march-2018.pdf" TargetMode="External"/><Relationship Id="rId38" Type="http://schemas.openxmlformats.org/officeDocument/2006/relationships/hyperlink" Target="https://www.lmw.com.au/media/1253/continuous-disclosure-policy-procedures.pdf" TargetMode="External"/><Relationship Id="rId46" Type="http://schemas.openxmlformats.org/officeDocument/2006/relationships/hyperlink" Target="https://automic.com.au/" TargetMode="External"/><Relationship Id="rId59" Type="http://schemas.openxmlformats.org/officeDocument/2006/relationships/hyperlink" Target="https://www.lmw.com.au/media/1258/share-trading-policy.pdf" TargetMode="External"/><Relationship Id="rId67" Type="http://schemas.openxmlformats.org/officeDocument/2006/relationships/fontTable" Target="fontTable.xml"/><Relationship Id="rId20" Type="http://schemas.openxmlformats.org/officeDocument/2006/relationships/hyperlink" Target="https://www.lmw.com.au/investor-center/annual-reports/" TargetMode="External"/><Relationship Id="rId41" Type="http://schemas.openxmlformats.org/officeDocument/2006/relationships/hyperlink" Target="http://www.lmw.com.au/" TargetMode="External"/><Relationship Id="rId54" Type="http://schemas.openxmlformats.org/officeDocument/2006/relationships/hyperlink" Target="https://www.lmw.com.au/media/1298/corporate-responsibility-policy-esg.pdf" TargetMode="External"/><Relationship Id="rId6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5844</Words>
  <Characters>33317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CorporAte Governance 
Statement 2019</vt:lpstr>
    </vt:vector>
  </TitlesOfParts>
  <Company/>
  <LinksUpToDate>false</LinksUpToDate>
  <CharactersWithSpaces>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Governance 
Statement 2019</dc:title>
  <dc:subject/>
  <dc:creator>Jane Wyndham</dc:creator>
  <cp:keywords/>
  <cp:lastModifiedBy>Trish O'Callaghan</cp:lastModifiedBy>
  <cp:revision>3</cp:revision>
  <dcterms:created xsi:type="dcterms:W3CDTF">2019-12-04T23:45:00Z</dcterms:created>
  <dcterms:modified xsi:type="dcterms:W3CDTF">2019-12-05T05:21:00Z</dcterms:modified>
</cp:coreProperties>
</file>