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2C220" w14:textId="688ED3A4" w:rsidR="007B5808" w:rsidRPr="00DF0BA0" w:rsidRDefault="00960DD0" w:rsidP="007E7418">
      <w:pPr>
        <w:spacing w:after="28" w:line="259" w:lineRule="auto"/>
        <w:ind w:left="0" w:right="59" w:firstLine="0"/>
        <w:jc w:val="left"/>
        <w:rPr>
          <w:rFonts w:ascii="IBM Plex Sans Light" w:hAnsi="IBM Plex Sans Light"/>
        </w:rPr>
      </w:pPr>
      <w:r w:rsidRPr="00DF0BA0">
        <w:rPr>
          <w:rFonts w:ascii="IBM Plex Sans Light" w:eastAsia="Calibri" w:hAnsi="IBM Plex Sans Light" w:cs="Calibri"/>
          <w:sz w:val="9"/>
        </w:rPr>
        <w:t xml:space="preserve"> </w:t>
      </w:r>
    </w:p>
    <w:p w14:paraId="4C7CD83D" w14:textId="320C6FE7" w:rsidR="007B5808" w:rsidRPr="00DF0BA0" w:rsidRDefault="00960DD0" w:rsidP="00DF0BA0">
      <w:pPr>
        <w:spacing w:after="44" w:line="259" w:lineRule="auto"/>
        <w:ind w:left="0" w:firstLine="0"/>
        <w:jc w:val="left"/>
        <w:rPr>
          <w:rFonts w:ascii="IBM Plex Sans Light" w:hAnsi="IBM Plex Sans Light"/>
        </w:rPr>
      </w:pPr>
      <w:r w:rsidRPr="00DF0BA0">
        <w:rPr>
          <w:rFonts w:ascii="IBM Plex Sans Light" w:eastAsia="Calibri" w:hAnsi="IBM Plex Sans Light" w:cs="Calibri"/>
          <w:sz w:val="12"/>
        </w:rPr>
        <w:t xml:space="preserve"> </w:t>
      </w:r>
      <w:r w:rsidRPr="00DF0BA0">
        <w:rPr>
          <w:rFonts w:ascii="IBM Plex Sans Light" w:eastAsia="Calibri" w:hAnsi="IBM Plex Sans Light" w:cs="Calibri"/>
          <w:sz w:val="21"/>
        </w:rPr>
        <w:t xml:space="preserve"> </w:t>
      </w:r>
    </w:p>
    <w:p w14:paraId="6C80734D" w14:textId="77777777" w:rsidR="007B5808" w:rsidRPr="007E7418" w:rsidRDefault="00960DD0" w:rsidP="00CA75FF">
      <w:pPr>
        <w:pStyle w:val="Heading1"/>
        <w:ind w:left="0"/>
        <w:rPr>
          <w:rFonts w:ascii="IBM Plex Serif Text" w:hAnsi="IBM Plex Serif Text"/>
          <w:b/>
          <w:color w:val="15420C"/>
        </w:rPr>
      </w:pPr>
      <w:r w:rsidRPr="007E7418">
        <w:rPr>
          <w:rFonts w:ascii="IBM Plex Serif Text" w:hAnsi="IBM Plex Serif Text"/>
          <w:b/>
          <w:color w:val="15420C"/>
        </w:rPr>
        <w:t xml:space="preserve">DIVERSITY POLICY </w:t>
      </w:r>
    </w:p>
    <w:p w14:paraId="16D43455" w14:textId="77777777" w:rsidR="007B5808" w:rsidRPr="00DF0BA0" w:rsidRDefault="00960DD0">
      <w:pPr>
        <w:spacing w:after="0" w:line="259" w:lineRule="auto"/>
        <w:ind w:left="0" w:firstLine="0"/>
        <w:jc w:val="left"/>
        <w:rPr>
          <w:rFonts w:ascii="IBM Plex Sans Light" w:hAnsi="IBM Plex Sans Light"/>
          <w:color w:val="15420C"/>
        </w:rPr>
      </w:pPr>
      <w:r w:rsidRPr="00DF0BA0">
        <w:rPr>
          <w:rFonts w:ascii="IBM Plex Sans Light" w:eastAsia="Calibri" w:hAnsi="IBM Plex Sans Light" w:cs="Calibri"/>
          <w:sz w:val="23"/>
        </w:rPr>
        <w:t xml:space="preserve"> </w:t>
      </w:r>
      <w:bookmarkStart w:id="0" w:name="_GoBack"/>
      <w:bookmarkEnd w:id="0"/>
    </w:p>
    <w:p w14:paraId="65E84EF5" w14:textId="4F2716BB" w:rsidR="007B5808" w:rsidRPr="00DF0BA0" w:rsidRDefault="00960DD0" w:rsidP="007E7418">
      <w:pPr>
        <w:pStyle w:val="Heading2"/>
      </w:pPr>
      <w:r w:rsidRPr="00DF0BA0">
        <w:t xml:space="preserve">1 </w:t>
      </w:r>
      <w:r w:rsidRPr="00DF0BA0">
        <w:tab/>
      </w:r>
      <w:r w:rsidRPr="007E7418">
        <w:t>Diversity</w:t>
      </w:r>
      <w:r w:rsidRPr="00DF0BA0">
        <w:t xml:space="preserve"> </w:t>
      </w:r>
      <w:r w:rsidR="007E7418">
        <w:t>V</w:t>
      </w:r>
      <w:r w:rsidRPr="00DF0BA0">
        <w:t xml:space="preserve">ision </w:t>
      </w:r>
    </w:p>
    <w:p w14:paraId="16C0C659" w14:textId="77777777" w:rsidR="007E7418" w:rsidRDefault="007E7418" w:rsidP="00DF0BA0">
      <w:pPr>
        <w:ind w:left="0" w:right="133"/>
        <w:jc w:val="left"/>
        <w:rPr>
          <w:rFonts w:ascii="IBM Plex Sans Light" w:hAnsi="IBM Plex Sans Light"/>
        </w:rPr>
      </w:pPr>
    </w:p>
    <w:p w14:paraId="1C2A020B" w14:textId="1E9A0BBB" w:rsidR="007B5808" w:rsidRPr="00DF0BA0" w:rsidRDefault="00DF0BA0" w:rsidP="007E7418">
      <w:r>
        <w:t>Acumentis</w:t>
      </w:r>
      <w:r w:rsidR="00960DD0" w:rsidRPr="00DF0BA0">
        <w:t xml:space="preserve"> recognises its talented and diverse workforce as an asset and a key competitive business advantage. </w:t>
      </w:r>
    </w:p>
    <w:p w14:paraId="129D2F33" w14:textId="77777777" w:rsidR="007B5808" w:rsidRPr="00DF0BA0" w:rsidRDefault="00960DD0" w:rsidP="007E7418">
      <w:r w:rsidRPr="00DF0BA0">
        <w:rPr>
          <w:rFonts w:eastAsia="Calibri" w:cs="Calibri"/>
          <w:sz w:val="11"/>
        </w:rPr>
        <w:t xml:space="preserve"> </w:t>
      </w:r>
    </w:p>
    <w:p w14:paraId="33286AC8" w14:textId="280F3871" w:rsidR="007B5808" w:rsidRPr="00DF0BA0" w:rsidRDefault="00960DD0" w:rsidP="007E7418">
      <w:r w:rsidRPr="00DF0BA0">
        <w:t xml:space="preserve">Our business success reflects the quality and skill of our people. </w:t>
      </w:r>
      <w:r w:rsidR="00E63509">
        <w:t>Acumentis</w:t>
      </w:r>
      <w:r w:rsidRPr="00DF0BA0">
        <w:t xml:space="preserve"> is committed to seeking out and retaining the finest human talent to ensure top business growth and performance. </w:t>
      </w:r>
    </w:p>
    <w:p w14:paraId="3095376D" w14:textId="77777777" w:rsidR="007B5808" w:rsidRPr="00DF0BA0" w:rsidRDefault="00960DD0" w:rsidP="007E7418">
      <w:r w:rsidRPr="00DF0BA0">
        <w:rPr>
          <w:rFonts w:eastAsia="Calibri" w:cs="Calibri"/>
          <w:sz w:val="11"/>
        </w:rPr>
        <w:t xml:space="preserve"> </w:t>
      </w:r>
    </w:p>
    <w:p w14:paraId="677C0FFC" w14:textId="77777777" w:rsidR="007B5808" w:rsidRPr="00DF0BA0" w:rsidRDefault="00960DD0" w:rsidP="007E7418">
      <w:r w:rsidRPr="00DF0BA0">
        <w:t xml:space="preserve">Diversity management benefits individuals, teams, our </w:t>
      </w:r>
      <w:proofErr w:type="gramStart"/>
      <w:r w:rsidRPr="00DF0BA0">
        <w:t>company as a whole, and</w:t>
      </w:r>
      <w:proofErr w:type="gramEnd"/>
      <w:r w:rsidRPr="00DF0BA0">
        <w:t xml:space="preserve"> our customers.  </w:t>
      </w:r>
    </w:p>
    <w:p w14:paraId="1D7E2A04" w14:textId="77777777" w:rsidR="007B5808" w:rsidRPr="00DF0BA0" w:rsidRDefault="00960DD0" w:rsidP="007E7418">
      <w:r w:rsidRPr="00DF0BA0">
        <w:t xml:space="preserve"> </w:t>
      </w:r>
    </w:p>
    <w:p w14:paraId="0C1E8B69" w14:textId="77777777" w:rsidR="007B5808" w:rsidRPr="00DF0BA0" w:rsidRDefault="00960DD0" w:rsidP="007E7418">
      <w:r w:rsidRPr="00DF0BA0">
        <w:t xml:space="preserve">We recognise that each employee brings their own unique capabilities, experiences and characteristics to their work. We value such diversity at all levels of the company in all that we do. </w:t>
      </w:r>
    </w:p>
    <w:p w14:paraId="0AD6F837" w14:textId="77777777" w:rsidR="007B5808" w:rsidRPr="00DF0BA0" w:rsidRDefault="00960DD0" w:rsidP="007E7418">
      <w:r w:rsidRPr="00DF0BA0">
        <w:rPr>
          <w:rFonts w:eastAsia="Calibri" w:cs="Calibri"/>
          <w:sz w:val="11"/>
        </w:rPr>
        <w:t xml:space="preserve"> </w:t>
      </w:r>
    </w:p>
    <w:p w14:paraId="73FD0AE1" w14:textId="27523104" w:rsidR="007B5808" w:rsidRPr="00DF0BA0" w:rsidRDefault="00E63509" w:rsidP="007E7418">
      <w:r>
        <w:t>Acumentis</w:t>
      </w:r>
      <w:r w:rsidR="00960DD0" w:rsidRPr="00DF0BA0">
        <w:t xml:space="preserve"> believes in treating all people with respect and dignity. We strive to create and foster a supportive and understanding environment in which all individuals realise their maximum potential within the company, regardless of their differences. </w:t>
      </w:r>
    </w:p>
    <w:p w14:paraId="4D973CB8" w14:textId="77777777" w:rsidR="007B5808" w:rsidRPr="00DF0BA0" w:rsidRDefault="00960DD0" w:rsidP="007E7418">
      <w:r w:rsidRPr="00DF0BA0">
        <w:rPr>
          <w:rFonts w:eastAsia="Calibri" w:cs="Calibri"/>
          <w:sz w:val="11"/>
        </w:rPr>
        <w:t xml:space="preserve"> </w:t>
      </w:r>
    </w:p>
    <w:p w14:paraId="3E0136BC" w14:textId="2923DA78" w:rsidR="007B5808" w:rsidRPr="00DF0BA0" w:rsidRDefault="00960DD0" w:rsidP="007E7418">
      <w:r w:rsidRPr="00DF0BA0">
        <w:t xml:space="preserve">We are committed to employing the best people to do the best job possible. We recognise the importance of reflecting the diversity of our customers and markets in our workforce. The diverse capabilities that reside within our talented workforce, positions </w:t>
      </w:r>
      <w:r w:rsidR="00E63509">
        <w:t>Acumentis</w:t>
      </w:r>
      <w:r w:rsidRPr="00DF0BA0">
        <w:t xml:space="preserve"> to anticipate and fulfil the needs of our diverse customers by providing high quality services. </w:t>
      </w:r>
    </w:p>
    <w:p w14:paraId="4F9DA69C" w14:textId="77777777" w:rsidR="007B5808" w:rsidRPr="00DF0BA0" w:rsidRDefault="00960DD0" w:rsidP="007E7418">
      <w:r w:rsidRPr="00DF0BA0">
        <w:rPr>
          <w:rFonts w:eastAsia="Calibri" w:cs="Calibri"/>
          <w:sz w:val="11"/>
        </w:rPr>
        <w:t xml:space="preserve"> </w:t>
      </w:r>
    </w:p>
    <w:p w14:paraId="6E0D801E" w14:textId="14B0F943" w:rsidR="007B5808" w:rsidRPr="00DF0BA0" w:rsidRDefault="00E63509" w:rsidP="007E7418">
      <w:r>
        <w:t>Acumentis</w:t>
      </w:r>
      <w:r w:rsidR="00960DD0" w:rsidRPr="00DF0BA0">
        <w:t xml:space="preserve"> is diverse in many dimensions. Our diversity encompasses differences in ethnicity, gender, language, age, sexual orientation, religion, socio-economic status, physical and mental ability, thinking styles, experience, and education. </w:t>
      </w:r>
    </w:p>
    <w:p w14:paraId="16F8E9C0" w14:textId="77777777" w:rsidR="007B5808" w:rsidRPr="00DF0BA0" w:rsidRDefault="00960DD0" w:rsidP="007E7418">
      <w:r w:rsidRPr="00DF0BA0">
        <w:rPr>
          <w:rFonts w:eastAsia="Calibri" w:cs="Calibri"/>
          <w:sz w:val="11"/>
        </w:rPr>
        <w:t xml:space="preserve"> </w:t>
      </w:r>
    </w:p>
    <w:p w14:paraId="662C1F1F" w14:textId="77777777" w:rsidR="007B5808" w:rsidRPr="00DF0BA0" w:rsidRDefault="00960DD0" w:rsidP="007E7418">
      <w:r w:rsidRPr="00DF0BA0">
        <w:t xml:space="preserve">We believe that the wide array of perspectives that results from such diversity promotes innovation and business success. Managing diversity makes us more creative, flexible, productive and competitive. </w:t>
      </w:r>
    </w:p>
    <w:p w14:paraId="45B2E731" w14:textId="77777777" w:rsidR="007B5808" w:rsidRPr="00DF0BA0" w:rsidRDefault="00960DD0" w:rsidP="003A176F">
      <w:pPr>
        <w:spacing w:after="0" w:line="259" w:lineRule="auto"/>
        <w:ind w:left="0" w:firstLine="0"/>
        <w:jc w:val="left"/>
        <w:rPr>
          <w:rFonts w:ascii="IBM Plex Sans Light" w:hAnsi="IBM Plex Sans Light"/>
        </w:rPr>
      </w:pPr>
      <w:r w:rsidRPr="00DF0BA0">
        <w:rPr>
          <w:rFonts w:ascii="IBM Plex Sans Light" w:eastAsia="Calibri" w:hAnsi="IBM Plex Sans Light" w:cs="Calibri"/>
          <w:sz w:val="21"/>
        </w:rPr>
        <w:t xml:space="preserve"> </w:t>
      </w:r>
    </w:p>
    <w:p w14:paraId="46202FC7" w14:textId="77777777" w:rsidR="007E7418" w:rsidRDefault="00960DD0" w:rsidP="003A176F">
      <w:pPr>
        <w:spacing w:after="0" w:line="259" w:lineRule="auto"/>
        <w:ind w:left="0" w:firstLine="0"/>
        <w:jc w:val="left"/>
        <w:rPr>
          <w:rFonts w:ascii="IBM Plex Sans Light" w:eastAsia="Calibri" w:hAnsi="IBM Plex Sans Light" w:cs="Calibri"/>
          <w:sz w:val="21"/>
        </w:rPr>
        <w:sectPr w:rsidR="007E7418" w:rsidSect="007E7418">
          <w:headerReference w:type="default" r:id="rId8"/>
          <w:footerReference w:type="default" r:id="rId9"/>
          <w:pgSz w:w="12240" w:h="15840"/>
          <w:pgMar w:top="292" w:right="1688" w:bottom="185" w:left="1736" w:header="567" w:footer="964" w:gutter="0"/>
          <w:cols w:space="720"/>
          <w:docGrid w:linePitch="272"/>
        </w:sectPr>
      </w:pPr>
      <w:r w:rsidRPr="00DF0BA0">
        <w:rPr>
          <w:rFonts w:ascii="IBM Plex Sans Light" w:eastAsia="Calibri" w:hAnsi="IBM Plex Sans Light" w:cs="Calibri"/>
          <w:sz w:val="21"/>
        </w:rPr>
        <w:t xml:space="preserve"> </w:t>
      </w:r>
    </w:p>
    <w:p w14:paraId="7B5C1119" w14:textId="2BD93056" w:rsidR="007B5808" w:rsidRPr="00DF0BA0" w:rsidRDefault="007B5808" w:rsidP="003A176F">
      <w:pPr>
        <w:spacing w:after="0" w:line="259" w:lineRule="auto"/>
        <w:ind w:left="0" w:firstLine="0"/>
        <w:jc w:val="left"/>
        <w:rPr>
          <w:rFonts w:ascii="IBM Plex Sans Light" w:hAnsi="IBM Plex Sans Light"/>
        </w:rPr>
      </w:pPr>
    </w:p>
    <w:p w14:paraId="1608E52B" w14:textId="22C6F018" w:rsidR="007B5808" w:rsidRDefault="00960DD0" w:rsidP="007E7418">
      <w:pPr>
        <w:pStyle w:val="Heading2"/>
      </w:pPr>
      <w:r w:rsidRPr="00DF0BA0">
        <w:t xml:space="preserve">2 </w:t>
      </w:r>
      <w:r w:rsidRPr="00DF0BA0">
        <w:tab/>
      </w:r>
      <w:r w:rsidRPr="007E7418">
        <w:t>Recruitment</w:t>
      </w:r>
      <w:r w:rsidRPr="00DF0BA0">
        <w:t xml:space="preserve"> </w:t>
      </w:r>
    </w:p>
    <w:p w14:paraId="44F57DFE" w14:textId="77777777" w:rsidR="007E7418" w:rsidRPr="007E7418" w:rsidRDefault="007E7418" w:rsidP="007E7418"/>
    <w:p w14:paraId="6E4C6A7A" w14:textId="6E5F0E31" w:rsidR="007B5808" w:rsidRPr="00DF0BA0" w:rsidRDefault="00E63509" w:rsidP="007E7418">
      <w:r>
        <w:t>Acumentis</w:t>
      </w:r>
      <w:r w:rsidR="00960DD0" w:rsidRPr="00DF0BA0">
        <w:t xml:space="preserve"> </w:t>
      </w:r>
      <w:proofErr w:type="gramStart"/>
      <w:r w:rsidR="00960DD0" w:rsidRPr="00DF0BA0">
        <w:t>recruits</w:t>
      </w:r>
      <w:proofErr w:type="gramEnd"/>
      <w:r w:rsidR="00960DD0" w:rsidRPr="00DF0BA0">
        <w:t xml:space="preserve"> people who originate from different countries. We believe that our employees from many different cultural, linguistic and national backgrounds enhance our service potential. </w:t>
      </w:r>
    </w:p>
    <w:p w14:paraId="049DAB95" w14:textId="77777777" w:rsidR="007B5808" w:rsidRPr="00DF0BA0" w:rsidRDefault="00960DD0" w:rsidP="007E7418">
      <w:r w:rsidRPr="00DF0BA0">
        <w:rPr>
          <w:rFonts w:eastAsia="Calibri" w:cs="Calibri"/>
          <w:sz w:val="21"/>
        </w:rPr>
        <w:t xml:space="preserve"> </w:t>
      </w:r>
    </w:p>
    <w:p w14:paraId="2FCC1DEA" w14:textId="77777777" w:rsidR="007B5808" w:rsidRPr="00DF0BA0" w:rsidRDefault="00960DD0" w:rsidP="003A176F">
      <w:pPr>
        <w:spacing w:after="0" w:line="259" w:lineRule="auto"/>
        <w:ind w:left="0" w:firstLine="0"/>
        <w:jc w:val="left"/>
        <w:rPr>
          <w:rFonts w:ascii="IBM Plex Sans Light" w:hAnsi="IBM Plex Sans Light"/>
        </w:rPr>
      </w:pPr>
      <w:r w:rsidRPr="00DF0BA0">
        <w:rPr>
          <w:rFonts w:ascii="IBM Plex Sans Light" w:eastAsia="Calibri" w:hAnsi="IBM Plex Sans Light" w:cs="Calibri"/>
          <w:sz w:val="21"/>
        </w:rPr>
        <w:t xml:space="preserve"> </w:t>
      </w:r>
    </w:p>
    <w:p w14:paraId="44A468FB" w14:textId="18EF58BC" w:rsidR="007B5808" w:rsidRDefault="00960DD0" w:rsidP="007E7418">
      <w:pPr>
        <w:pStyle w:val="Heading2"/>
      </w:pPr>
      <w:r w:rsidRPr="00DF0BA0">
        <w:t xml:space="preserve">3 </w:t>
      </w:r>
      <w:r w:rsidRPr="00DF0BA0">
        <w:tab/>
      </w:r>
      <w:r w:rsidRPr="007E7418">
        <w:t>Career</w:t>
      </w:r>
      <w:r w:rsidRPr="00DF0BA0">
        <w:t xml:space="preserve"> development and promotion </w:t>
      </w:r>
    </w:p>
    <w:p w14:paraId="312BE782" w14:textId="77777777" w:rsidR="007E7418" w:rsidRPr="007E7418" w:rsidRDefault="007E7418" w:rsidP="007E7418"/>
    <w:p w14:paraId="725C5041" w14:textId="7C5D3D71" w:rsidR="007B5808" w:rsidRDefault="00E63509" w:rsidP="007E7418">
      <w:r>
        <w:t>Acumentis</w:t>
      </w:r>
      <w:r w:rsidR="00960DD0" w:rsidRPr="00DF0BA0">
        <w:t xml:space="preserve"> rewards excellence and all employees are promoted based on their performance. All managers are trained in managing diversity to ensure that employees are treated fairly and evaluated objectively. </w:t>
      </w:r>
    </w:p>
    <w:p w14:paraId="200B0260" w14:textId="77777777" w:rsidR="007E7418" w:rsidRPr="00DF0BA0" w:rsidRDefault="007E7418" w:rsidP="007E7418"/>
    <w:p w14:paraId="5A7FBD1B" w14:textId="6166ED1F" w:rsidR="007B5808" w:rsidRDefault="00960DD0" w:rsidP="007E7418">
      <w:pPr>
        <w:pStyle w:val="Heading2"/>
      </w:pPr>
      <w:r w:rsidRPr="00DF0BA0">
        <w:t xml:space="preserve">4 </w:t>
      </w:r>
      <w:r w:rsidRPr="00DF0BA0">
        <w:tab/>
      </w:r>
      <w:r w:rsidRPr="007E7418">
        <w:t>Diversity</w:t>
      </w:r>
      <w:r w:rsidRPr="00DF0BA0">
        <w:t xml:space="preserve"> practices </w:t>
      </w:r>
    </w:p>
    <w:p w14:paraId="44A3ACB5" w14:textId="77777777" w:rsidR="007E7418" w:rsidRPr="007E7418" w:rsidRDefault="007E7418" w:rsidP="007E7418"/>
    <w:p w14:paraId="7186996F" w14:textId="22758560" w:rsidR="007B5808" w:rsidRPr="00DF0BA0" w:rsidRDefault="00E63509" w:rsidP="007E7418">
      <w:r>
        <w:t>Acumentis</w:t>
      </w:r>
      <w:r w:rsidR="00960DD0" w:rsidRPr="00DF0BA0">
        <w:t xml:space="preserve"> provides a safe and pleasant environment for our employees. We offer: </w:t>
      </w:r>
    </w:p>
    <w:p w14:paraId="53B9355A" w14:textId="77777777" w:rsidR="007B5808" w:rsidRPr="00DF0BA0" w:rsidRDefault="00960DD0" w:rsidP="007E7418">
      <w:r w:rsidRPr="00DF0BA0">
        <w:rPr>
          <w:rFonts w:eastAsia="Calibri" w:cs="Calibri"/>
          <w:sz w:val="11"/>
        </w:rPr>
        <w:t xml:space="preserve"> </w:t>
      </w:r>
    </w:p>
    <w:p w14:paraId="630491C8" w14:textId="7549553F" w:rsidR="007B5808" w:rsidRPr="00DF0BA0" w:rsidRDefault="00960DD0" w:rsidP="007E7418">
      <w:pPr>
        <w:pStyle w:val="ListParagraph"/>
        <w:numPr>
          <w:ilvl w:val="0"/>
          <w:numId w:val="5"/>
        </w:numPr>
      </w:pPr>
      <w:r w:rsidRPr="00DF0BA0">
        <w:t>Flexible working time arrangements</w:t>
      </w:r>
      <w:r w:rsidR="007E7418">
        <w:t>;</w:t>
      </w:r>
      <w:r w:rsidRPr="00DF0BA0">
        <w:t xml:space="preserve"> </w:t>
      </w:r>
    </w:p>
    <w:p w14:paraId="41598724" w14:textId="195851CB" w:rsidR="007B5808" w:rsidRPr="00DF0BA0" w:rsidRDefault="00960DD0" w:rsidP="007E7418">
      <w:pPr>
        <w:pStyle w:val="ListParagraph"/>
        <w:numPr>
          <w:ilvl w:val="0"/>
          <w:numId w:val="5"/>
        </w:numPr>
      </w:pPr>
      <w:r w:rsidRPr="00DF0BA0">
        <w:t>Employee education assistance</w:t>
      </w:r>
      <w:r w:rsidR="007E7418">
        <w:t>;</w:t>
      </w:r>
      <w:r w:rsidRPr="00DF0BA0">
        <w:t xml:space="preserve"> </w:t>
      </w:r>
    </w:p>
    <w:p w14:paraId="467C13BC" w14:textId="6C468E9E" w:rsidR="007B5808" w:rsidRPr="00DF0BA0" w:rsidRDefault="00960DD0" w:rsidP="007E7418">
      <w:pPr>
        <w:pStyle w:val="ListParagraph"/>
        <w:numPr>
          <w:ilvl w:val="0"/>
          <w:numId w:val="5"/>
        </w:numPr>
      </w:pPr>
      <w:r w:rsidRPr="00DF0BA0">
        <w:t>Employee network and support groups</w:t>
      </w:r>
      <w:r w:rsidR="007E7418">
        <w:t>;</w:t>
      </w:r>
      <w:r w:rsidRPr="00DF0BA0">
        <w:t xml:space="preserve"> </w:t>
      </w:r>
    </w:p>
    <w:p w14:paraId="2CAB7C45" w14:textId="7E49EE56" w:rsidR="007B5808" w:rsidRPr="00DF0BA0" w:rsidRDefault="00960DD0" w:rsidP="007E7418">
      <w:pPr>
        <w:pStyle w:val="ListParagraph"/>
        <w:numPr>
          <w:ilvl w:val="0"/>
          <w:numId w:val="5"/>
        </w:numPr>
      </w:pPr>
      <w:r w:rsidRPr="00DF0BA0">
        <w:t>Open communications</w:t>
      </w:r>
      <w:r w:rsidR="007E7418">
        <w:t>; and</w:t>
      </w:r>
    </w:p>
    <w:p w14:paraId="6D412965" w14:textId="7312F747" w:rsidR="007B5808" w:rsidRPr="00DF0BA0" w:rsidRDefault="00960DD0" w:rsidP="007E7418">
      <w:pPr>
        <w:pStyle w:val="ListParagraph"/>
        <w:numPr>
          <w:ilvl w:val="0"/>
          <w:numId w:val="5"/>
        </w:numPr>
      </w:pPr>
      <w:r w:rsidRPr="00DF0BA0">
        <w:t>Mentor programmes</w:t>
      </w:r>
    </w:p>
    <w:p w14:paraId="77DE0A10" w14:textId="77777777" w:rsidR="007B5808" w:rsidRPr="00DF0BA0" w:rsidRDefault="00960DD0" w:rsidP="003A176F">
      <w:pPr>
        <w:spacing w:after="0" w:line="259" w:lineRule="auto"/>
        <w:ind w:left="934" w:firstLine="0"/>
        <w:jc w:val="left"/>
        <w:rPr>
          <w:rFonts w:ascii="IBM Plex Sans Light" w:hAnsi="IBM Plex Sans Light"/>
        </w:rPr>
      </w:pPr>
      <w:r w:rsidRPr="00DF0BA0">
        <w:rPr>
          <w:rFonts w:ascii="IBM Plex Sans Light" w:hAnsi="IBM Plex Sans Light"/>
        </w:rPr>
        <w:t xml:space="preserve"> </w:t>
      </w:r>
    </w:p>
    <w:p w14:paraId="1C350A1E" w14:textId="77777777" w:rsidR="007B5808" w:rsidRPr="007E7418" w:rsidRDefault="00960DD0" w:rsidP="007E7418">
      <w:pPr>
        <w:ind w:left="731" w:right="133"/>
        <w:jc w:val="left"/>
        <w:rPr>
          <w:rFonts w:ascii="IBM Plex Sans Light" w:hAnsi="IBM Plex Sans Light"/>
          <w:b/>
        </w:rPr>
      </w:pPr>
      <w:r w:rsidRPr="007E7418">
        <w:rPr>
          <w:rFonts w:ascii="IBM Plex Sans Light" w:hAnsi="IBM Plex Sans Light"/>
          <w:b/>
        </w:rPr>
        <w:t xml:space="preserve">APPROVED BY THE BOARD JULY 2019 </w:t>
      </w:r>
    </w:p>
    <w:p w14:paraId="39D1CF94" w14:textId="77777777" w:rsidR="007B5808" w:rsidRPr="00DF0BA0" w:rsidRDefault="00960DD0" w:rsidP="003A176F">
      <w:pPr>
        <w:spacing w:after="0" w:line="259" w:lineRule="auto"/>
        <w:ind w:left="934" w:firstLine="0"/>
        <w:jc w:val="left"/>
        <w:rPr>
          <w:rFonts w:ascii="IBM Plex Sans Light" w:hAnsi="IBM Plex Sans Light"/>
        </w:rPr>
      </w:pPr>
      <w:r w:rsidRPr="00DF0BA0">
        <w:rPr>
          <w:rFonts w:ascii="IBM Plex Sans Light" w:hAnsi="IBM Plex Sans Light"/>
        </w:rPr>
        <w:t xml:space="preserve"> </w:t>
      </w:r>
    </w:p>
    <w:p w14:paraId="411540D3" w14:textId="77777777" w:rsidR="007B5808" w:rsidRPr="00DF0BA0" w:rsidRDefault="00960DD0" w:rsidP="003A176F">
      <w:pPr>
        <w:spacing w:after="0" w:line="259" w:lineRule="auto"/>
        <w:ind w:left="934" w:firstLine="0"/>
        <w:jc w:val="left"/>
        <w:rPr>
          <w:rFonts w:ascii="IBM Plex Sans Light" w:hAnsi="IBM Plex Sans Light"/>
        </w:rPr>
      </w:pPr>
      <w:r w:rsidRPr="00DF0BA0">
        <w:rPr>
          <w:rFonts w:ascii="IBM Plex Sans Light" w:hAnsi="IBM Plex Sans Light"/>
        </w:rPr>
        <w:t xml:space="preserve">  </w:t>
      </w:r>
    </w:p>
    <w:sectPr w:rsidR="007B5808" w:rsidRPr="00DF0BA0" w:rsidSect="007E7418">
      <w:headerReference w:type="default" r:id="rId10"/>
      <w:footerReference w:type="default" r:id="rId11"/>
      <w:pgSz w:w="12240" w:h="15840"/>
      <w:pgMar w:top="292" w:right="1688" w:bottom="185" w:left="1736" w:header="624" w:footer="720" w:gutter="0"/>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A8A03" w14:textId="77777777" w:rsidR="00983EBA" w:rsidRDefault="00983EBA" w:rsidP="003A176F">
      <w:pPr>
        <w:spacing w:after="0" w:line="240" w:lineRule="auto"/>
      </w:pPr>
      <w:r>
        <w:separator/>
      </w:r>
    </w:p>
  </w:endnote>
  <w:endnote w:type="continuationSeparator" w:id="0">
    <w:p w14:paraId="00245846" w14:textId="77777777" w:rsidR="00983EBA" w:rsidRDefault="00983EBA" w:rsidP="003A1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BM Plex Sans Light">
    <w:panose1 w:val="020B0403050203000203"/>
    <w:charset w:val="00"/>
    <w:family w:val="swiss"/>
    <w:notTrueType/>
    <w:pitch w:val="variable"/>
    <w:sig w:usb0="A00002EF" w:usb1="5000207B" w:usb2="00000000" w:usb3="00000000" w:csb0="0000019F" w:csb1="00000000"/>
  </w:font>
  <w:font w:name="IBM Plex Serif Text">
    <w:panose1 w:val="02060503050406000203"/>
    <w:charset w:val="00"/>
    <w:family w:val="roman"/>
    <w:notTrueType/>
    <w:pitch w:val="variable"/>
    <w:sig w:usb0="A000026F" w:usb1="5000203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E8BBE" w14:textId="6AF26581" w:rsidR="00DF0BA0" w:rsidRPr="005449B1" w:rsidRDefault="005449B1" w:rsidP="007E7418">
    <w:pPr>
      <w:pStyle w:val="Footer"/>
      <w:jc w:val="right"/>
      <w:rPr>
        <w:rFonts w:ascii="IBM Plex Sans Light" w:hAnsi="IBM Plex Sans Light"/>
      </w:rPr>
    </w:pPr>
    <w:r w:rsidRPr="005449B1">
      <w:rPr>
        <w:rFonts w:ascii="IBM Plex Sans Light" w:hAnsi="IBM Plex Sans Light"/>
        <w:noProof/>
        <w:color w:val="262528"/>
        <w:sz w:val="15"/>
        <w:szCs w:val="15"/>
      </w:rPr>
      <w:drawing>
        <wp:anchor distT="0" distB="0" distL="114300" distR="114300" simplePos="0" relativeHeight="251659264" behindDoc="0" locked="0" layoutInCell="1" allowOverlap="1" wp14:anchorId="0E4E2200" wp14:editId="3C03FC5B">
          <wp:simplePos x="0" y="0"/>
          <wp:positionH relativeFrom="margin">
            <wp:align>left</wp:align>
          </wp:positionH>
          <wp:positionV relativeFrom="paragraph">
            <wp:posOffset>-171132</wp:posOffset>
          </wp:positionV>
          <wp:extent cx="586740" cy="899795"/>
          <wp:effectExtent l="0" t="0" r="381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007E7418" w:rsidRPr="00EC54E0">
      <w:rPr>
        <w:b/>
        <w:sz w:val="16"/>
        <w:szCs w:val="16"/>
      </w:rPr>
      <w:t xml:space="preserve"> </w:t>
    </w:r>
    <w:bookmarkStart w:id="1" w:name="_Hlk26450876"/>
    <w:r w:rsidR="007E7418">
      <w:rPr>
        <w:b/>
        <w:sz w:val="16"/>
        <w:szCs w:val="16"/>
      </w:rPr>
      <w:t>Liability limited by a scheme approved under the Professional Standards Legislation</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6E120" w14:textId="7A2CC678" w:rsidR="007E7418" w:rsidRPr="005449B1" w:rsidRDefault="007E7418" w:rsidP="007E7418">
    <w:pPr>
      <w:pStyle w:val="Footer"/>
      <w:jc w:val="right"/>
      <w:rPr>
        <w:rFonts w:ascii="IBM Plex Sans Light" w:hAnsi="IBM Plex Sans Light"/>
      </w:rPr>
    </w:pPr>
    <w:r w:rsidRPr="005449B1">
      <w:rPr>
        <w:rFonts w:ascii="IBM Plex Sans Light" w:hAnsi="IBM Plex Sans Light"/>
        <w:noProof/>
        <w:color w:val="262528"/>
        <w:sz w:val="15"/>
        <w:szCs w:val="15"/>
      </w:rPr>
      <w:drawing>
        <wp:anchor distT="0" distB="0" distL="114300" distR="114300" simplePos="0" relativeHeight="251661312" behindDoc="0" locked="0" layoutInCell="1" allowOverlap="1" wp14:anchorId="104756B4" wp14:editId="1BD5F536">
          <wp:simplePos x="0" y="0"/>
          <wp:positionH relativeFrom="margin">
            <wp:align>left</wp:align>
          </wp:positionH>
          <wp:positionV relativeFrom="paragraph">
            <wp:posOffset>-171132</wp:posOffset>
          </wp:positionV>
          <wp:extent cx="586740" cy="899795"/>
          <wp:effectExtent l="0" t="0" r="381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8A8DE" w14:textId="77777777" w:rsidR="00983EBA" w:rsidRDefault="00983EBA" w:rsidP="003A176F">
      <w:pPr>
        <w:spacing w:after="0" w:line="240" w:lineRule="auto"/>
      </w:pPr>
      <w:r>
        <w:separator/>
      </w:r>
    </w:p>
  </w:footnote>
  <w:footnote w:type="continuationSeparator" w:id="0">
    <w:p w14:paraId="19EC1481" w14:textId="77777777" w:rsidR="00983EBA" w:rsidRDefault="00983EBA" w:rsidP="003A1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01C23" w14:textId="78589A79" w:rsidR="003A176F" w:rsidRDefault="007E7418" w:rsidP="003A176F">
    <w:pPr>
      <w:pStyle w:val="Header"/>
      <w:jc w:val="right"/>
      <w:rPr>
        <w:noProof/>
      </w:rPr>
    </w:pPr>
    <w:r>
      <w:rPr>
        <w:noProof/>
      </w:rPr>
      <w:drawing>
        <wp:inline distT="0" distB="0" distL="0" distR="0" wp14:anchorId="7A2B06AB" wp14:editId="5FABD1EB">
          <wp:extent cx="1439545" cy="395605"/>
          <wp:effectExtent l="0" t="0" r="8255" b="4445"/>
          <wp:docPr id="11" name="Picture 11"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395605"/>
                  </a:xfrm>
                  <a:prstGeom prst="rect">
                    <a:avLst/>
                  </a:prstGeom>
                </pic:spPr>
              </pic:pic>
            </a:graphicData>
          </a:graphic>
        </wp:inline>
      </w:drawing>
    </w:r>
  </w:p>
  <w:p w14:paraId="07D2D617" w14:textId="4A41FA9C" w:rsidR="007E7418" w:rsidRDefault="007E7418" w:rsidP="003A176F">
    <w:pPr>
      <w:pStyle w:val="Header"/>
      <w:jc w:val="right"/>
      <w:rPr>
        <w:noProof/>
      </w:rPr>
    </w:pPr>
  </w:p>
  <w:p w14:paraId="2427E52C" w14:textId="77777777" w:rsidR="007E7418" w:rsidRPr="00463AC8" w:rsidRDefault="007E7418" w:rsidP="007E7418">
    <w:pPr>
      <w:spacing w:after="54" w:line="259" w:lineRule="auto"/>
      <w:ind w:left="0" w:right="169" w:firstLine="0"/>
      <w:jc w:val="right"/>
      <w:rPr>
        <w:rFonts w:ascii="IBM Plex Sans Light" w:hAnsi="IBM Plex Sans Light"/>
        <w:sz w:val="16"/>
        <w:szCs w:val="16"/>
      </w:rPr>
    </w:pPr>
    <w:r w:rsidRPr="00463AC8">
      <w:rPr>
        <w:rFonts w:ascii="IBM Plex Sans Light" w:hAnsi="IBM Plex Sans Light"/>
        <w:sz w:val="16"/>
        <w:szCs w:val="16"/>
      </w:rPr>
      <w:t xml:space="preserve">ABN: 50 102 320 329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EB79B" w14:textId="07888BCB" w:rsidR="007E7418" w:rsidRDefault="007E7418" w:rsidP="007E7418">
    <w:pPr>
      <w:pStyle w:val="Header"/>
      <w:tabs>
        <w:tab w:val="left" w:pos="2343"/>
      </w:tabs>
      <w:rPr>
        <w:noProof/>
      </w:rPr>
    </w:pPr>
    <w:r>
      <w:rPr>
        <w:noProof/>
      </w:rPr>
      <w:tab/>
    </w:r>
    <w:r>
      <w:rPr>
        <w:noProof/>
      </w:rPr>
      <w:tab/>
    </w:r>
  </w:p>
  <w:p w14:paraId="7746790A" w14:textId="4070CD45" w:rsidR="007E7418" w:rsidRDefault="007E7418" w:rsidP="003A176F">
    <w:pPr>
      <w:pStyle w:val="Header"/>
      <w:jc w:val="right"/>
      <w:rPr>
        <w:noProof/>
      </w:rPr>
    </w:pPr>
    <w:r>
      <w:rPr>
        <w:noProof/>
      </w:rPr>
      <w:drawing>
        <wp:inline distT="0" distB="0" distL="0" distR="0" wp14:anchorId="427F96A6" wp14:editId="33C33C31">
          <wp:extent cx="540000" cy="46209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ary - Black and Gold.png"/>
                  <pic:cNvPicPr/>
                </pic:nvPicPr>
                <pic:blipFill>
                  <a:blip r:embed="rId1">
                    <a:extLst>
                      <a:ext uri="{28A0092B-C50C-407E-A947-70E740481C1C}">
                        <a14:useLocalDpi xmlns:a14="http://schemas.microsoft.com/office/drawing/2010/main" val="0"/>
                      </a:ext>
                    </a:extLst>
                  </a:blip>
                  <a:stretch>
                    <a:fillRect/>
                  </a:stretch>
                </pic:blipFill>
                <pic:spPr>
                  <a:xfrm>
                    <a:off x="0" y="0"/>
                    <a:ext cx="540000" cy="4620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06B2C"/>
    <w:multiLevelType w:val="hybridMultilevel"/>
    <w:tmpl w:val="8A4064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DDB3F64"/>
    <w:multiLevelType w:val="hybridMultilevel"/>
    <w:tmpl w:val="4B2C5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3490C9D"/>
    <w:multiLevelType w:val="hybridMultilevel"/>
    <w:tmpl w:val="4E06B616"/>
    <w:lvl w:ilvl="0" w:tplc="2C960112">
      <w:start w:val="1"/>
      <w:numFmt w:val="bullet"/>
      <w:lvlText w:val=""/>
      <w:lvlJc w:val="left"/>
      <w:pPr>
        <w:ind w:left="1171"/>
      </w:pPr>
      <w:rPr>
        <w:rFonts w:ascii="Symbol" w:hAnsi="Symbol" w:hint="default"/>
        <w:b w:val="0"/>
        <w:i w:val="0"/>
        <w:strike w:val="0"/>
        <w:dstrike w:val="0"/>
        <w:color w:val="31B6AF"/>
        <w:sz w:val="19"/>
        <w:szCs w:val="19"/>
        <w:u w:val="none" w:color="000000"/>
        <w:bdr w:val="none" w:sz="0" w:space="0" w:color="auto"/>
        <w:shd w:val="clear" w:color="auto" w:fill="auto"/>
        <w:vertAlign w:val="baseline"/>
      </w:rPr>
    </w:lvl>
    <w:lvl w:ilvl="1" w:tplc="EB12BF30">
      <w:start w:val="1"/>
      <w:numFmt w:val="bullet"/>
      <w:lvlText w:val="o"/>
      <w:lvlJc w:val="left"/>
      <w:pPr>
        <w:ind w:left="20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4C502686">
      <w:start w:val="1"/>
      <w:numFmt w:val="bullet"/>
      <w:lvlText w:val="▪"/>
      <w:lvlJc w:val="left"/>
      <w:pPr>
        <w:ind w:left="27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49D6F764">
      <w:start w:val="1"/>
      <w:numFmt w:val="bullet"/>
      <w:lvlText w:val="•"/>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7609A50">
      <w:start w:val="1"/>
      <w:numFmt w:val="bullet"/>
      <w:lvlText w:val="o"/>
      <w:lvlJc w:val="left"/>
      <w:pPr>
        <w:ind w:left="41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78AAB4EE">
      <w:start w:val="1"/>
      <w:numFmt w:val="bullet"/>
      <w:lvlText w:val="▪"/>
      <w:lvlJc w:val="left"/>
      <w:pPr>
        <w:ind w:left="48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57C581E">
      <w:start w:val="1"/>
      <w:numFmt w:val="bullet"/>
      <w:lvlText w:val="•"/>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2BEB18A">
      <w:start w:val="1"/>
      <w:numFmt w:val="bullet"/>
      <w:lvlText w:val="o"/>
      <w:lvlJc w:val="left"/>
      <w:pPr>
        <w:ind w:left="63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6F64BC34">
      <w:start w:val="1"/>
      <w:numFmt w:val="bullet"/>
      <w:lvlText w:val="▪"/>
      <w:lvlJc w:val="left"/>
      <w:pPr>
        <w:ind w:left="70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6B6C52F7"/>
    <w:multiLevelType w:val="hybridMultilevel"/>
    <w:tmpl w:val="2872E9A6"/>
    <w:lvl w:ilvl="0" w:tplc="06FEC270">
      <w:start w:val="1"/>
      <w:numFmt w:val="bullet"/>
      <w:lvlText w:val=""/>
      <w:lvlJc w:val="left"/>
      <w:pPr>
        <w:ind w:left="720" w:hanging="360"/>
      </w:pPr>
      <w:rPr>
        <w:rFonts w:ascii="Symbol" w:hAnsi="Symbol" w:hint="default"/>
        <w:color w:val="15420C"/>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C081059"/>
    <w:multiLevelType w:val="hybridMultilevel"/>
    <w:tmpl w:val="C1F681A2"/>
    <w:lvl w:ilvl="0" w:tplc="907C730A">
      <w:start w:val="1"/>
      <w:numFmt w:val="bullet"/>
      <w:lvlText w:val="•"/>
      <w:lvlJc w:val="left"/>
      <w:pPr>
        <w:ind w:left="117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B12BF30">
      <w:start w:val="1"/>
      <w:numFmt w:val="bullet"/>
      <w:lvlText w:val="o"/>
      <w:lvlJc w:val="left"/>
      <w:pPr>
        <w:ind w:left="20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4C502686">
      <w:start w:val="1"/>
      <w:numFmt w:val="bullet"/>
      <w:lvlText w:val="▪"/>
      <w:lvlJc w:val="left"/>
      <w:pPr>
        <w:ind w:left="27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49D6F764">
      <w:start w:val="1"/>
      <w:numFmt w:val="bullet"/>
      <w:lvlText w:val="•"/>
      <w:lvlJc w:val="left"/>
      <w:pPr>
        <w:ind w:left="345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7609A50">
      <w:start w:val="1"/>
      <w:numFmt w:val="bullet"/>
      <w:lvlText w:val="o"/>
      <w:lvlJc w:val="left"/>
      <w:pPr>
        <w:ind w:left="41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78AAB4EE">
      <w:start w:val="1"/>
      <w:numFmt w:val="bullet"/>
      <w:lvlText w:val="▪"/>
      <w:lvlJc w:val="left"/>
      <w:pPr>
        <w:ind w:left="48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57C581E">
      <w:start w:val="1"/>
      <w:numFmt w:val="bullet"/>
      <w:lvlText w:val="•"/>
      <w:lvlJc w:val="left"/>
      <w:pPr>
        <w:ind w:left="561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2BEB18A">
      <w:start w:val="1"/>
      <w:numFmt w:val="bullet"/>
      <w:lvlText w:val="o"/>
      <w:lvlJc w:val="left"/>
      <w:pPr>
        <w:ind w:left="63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6F64BC34">
      <w:start w:val="1"/>
      <w:numFmt w:val="bullet"/>
      <w:lvlText w:val="▪"/>
      <w:lvlJc w:val="left"/>
      <w:pPr>
        <w:ind w:left="70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808"/>
    <w:rsid w:val="003A176F"/>
    <w:rsid w:val="005449B1"/>
    <w:rsid w:val="007B5808"/>
    <w:rsid w:val="007E7418"/>
    <w:rsid w:val="00960DD0"/>
    <w:rsid w:val="00983EBA"/>
    <w:rsid w:val="00CA75FF"/>
    <w:rsid w:val="00DF0BA0"/>
    <w:rsid w:val="00E63509"/>
    <w:rsid w:val="00EB5776"/>
    <w:rsid w:val="00FC42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8E06F3"/>
  <w15:docId w15:val="{11AD1475-92B3-4AB0-B7B7-A8C20DDF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7418"/>
    <w:pPr>
      <w:spacing w:after="2" w:line="254" w:lineRule="auto"/>
      <w:ind w:left="720" w:hanging="11"/>
      <w:jc w:val="both"/>
    </w:pPr>
    <w:rPr>
      <w:rFonts w:ascii="IBM Plex Sans" w:eastAsia="Arial" w:hAnsi="IBM Plex Sans" w:cs="Arial"/>
      <w:color w:val="000000"/>
      <w:sz w:val="20"/>
    </w:rPr>
  </w:style>
  <w:style w:type="paragraph" w:styleId="Heading1">
    <w:name w:val="heading 1"/>
    <w:next w:val="Normal"/>
    <w:link w:val="Heading1Char"/>
    <w:uiPriority w:val="9"/>
    <w:qFormat/>
    <w:pPr>
      <w:keepNext/>
      <w:keepLines/>
      <w:spacing w:after="0"/>
      <w:ind w:left="132"/>
      <w:outlineLvl w:val="0"/>
    </w:pPr>
    <w:rPr>
      <w:rFonts w:ascii="Arial" w:eastAsia="Arial" w:hAnsi="Arial" w:cs="Arial"/>
      <w:color w:val="39A09F"/>
      <w:sz w:val="30"/>
    </w:rPr>
  </w:style>
  <w:style w:type="paragraph" w:styleId="Heading2">
    <w:name w:val="heading 2"/>
    <w:next w:val="Normal"/>
    <w:link w:val="Heading2Char"/>
    <w:uiPriority w:val="9"/>
    <w:unhideWhenUsed/>
    <w:qFormat/>
    <w:rsid w:val="007E7418"/>
    <w:pPr>
      <w:keepNext/>
      <w:keepLines/>
      <w:spacing w:after="20"/>
      <w:ind w:left="709" w:hanging="709"/>
      <w:outlineLvl w:val="1"/>
    </w:pPr>
    <w:rPr>
      <w:rFonts w:ascii="IBM Plex Sans" w:eastAsia="Arial" w:hAnsi="IBM Plex Sans" w:cs="Arial"/>
      <w:b/>
      <w:color w:val="15420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E7418"/>
    <w:rPr>
      <w:rFonts w:ascii="IBM Plex Sans" w:eastAsia="Arial" w:hAnsi="IBM Plex Sans" w:cs="Arial"/>
      <w:b/>
      <w:color w:val="15420C"/>
    </w:rPr>
  </w:style>
  <w:style w:type="character" w:customStyle="1" w:styleId="Heading1Char">
    <w:name w:val="Heading 1 Char"/>
    <w:link w:val="Heading1"/>
    <w:rPr>
      <w:rFonts w:ascii="Arial" w:eastAsia="Arial" w:hAnsi="Arial" w:cs="Arial"/>
      <w:color w:val="39A09F"/>
      <w:sz w:val="30"/>
    </w:rPr>
  </w:style>
  <w:style w:type="paragraph" w:styleId="BalloonText">
    <w:name w:val="Balloon Text"/>
    <w:basedOn w:val="Normal"/>
    <w:link w:val="BalloonTextChar"/>
    <w:uiPriority w:val="99"/>
    <w:semiHidden/>
    <w:unhideWhenUsed/>
    <w:rsid w:val="00960D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DD0"/>
    <w:rPr>
      <w:rFonts w:ascii="Segoe UI" w:eastAsia="Arial" w:hAnsi="Segoe UI" w:cs="Segoe UI"/>
      <w:color w:val="000000"/>
      <w:sz w:val="18"/>
      <w:szCs w:val="18"/>
    </w:rPr>
  </w:style>
  <w:style w:type="paragraph" w:styleId="Header">
    <w:name w:val="header"/>
    <w:basedOn w:val="Normal"/>
    <w:link w:val="HeaderChar"/>
    <w:uiPriority w:val="99"/>
    <w:unhideWhenUsed/>
    <w:rsid w:val="003A17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176F"/>
    <w:rPr>
      <w:rFonts w:ascii="Arial" w:eastAsia="Arial" w:hAnsi="Arial" w:cs="Arial"/>
      <w:color w:val="000000"/>
      <w:sz w:val="19"/>
    </w:rPr>
  </w:style>
  <w:style w:type="paragraph" w:styleId="Footer">
    <w:name w:val="footer"/>
    <w:basedOn w:val="Normal"/>
    <w:link w:val="FooterChar"/>
    <w:uiPriority w:val="99"/>
    <w:unhideWhenUsed/>
    <w:rsid w:val="003A17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176F"/>
    <w:rPr>
      <w:rFonts w:ascii="Arial" w:eastAsia="Arial" w:hAnsi="Arial" w:cs="Arial"/>
      <w:color w:val="000000"/>
      <w:sz w:val="19"/>
    </w:rPr>
  </w:style>
  <w:style w:type="paragraph" w:styleId="ListParagraph">
    <w:name w:val="List Paragraph"/>
    <w:basedOn w:val="Normal"/>
    <w:uiPriority w:val="34"/>
    <w:qFormat/>
    <w:rsid w:val="00DF0BA0"/>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8DD57-75D5-4B22-A44D-1D688548B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Microsoft Word - LMW Diversity Policy 19Jul19 FINAL.docx</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LMW Diversity Policy 19Jul19 FINAL.docx</dc:title>
  <dc:subject/>
  <dc:creator>TOCallaghan</dc:creator>
  <cp:keywords/>
  <cp:lastModifiedBy>Trish O'Callaghan</cp:lastModifiedBy>
  <cp:revision>9</cp:revision>
  <dcterms:created xsi:type="dcterms:W3CDTF">2019-11-20T06:15:00Z</dcterms:created>
  <dcterms:modified xsi:type="dcterms:W3CDTF">2019-12-05T05:53:00Z</dcterms:modified>
</cp:coreProperties>
</file>