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5D84" w:rsidRPr="004232D5" w:rsidRDefault="00E515E8" w:rsidP="004232D5">
      <w:pPr>
        <w:spacing w:after="41" w:line="259" w:lineRule="auto"/>
        <w:ind w:left="19" w:firstLine="0"/>
        <w:rPr>
          <w:rFonts w:ascii="IBM Plex Sans" w:hAnsi="IBM Plex Sans"/>
          <w:b/>
          <w:color w:val="15420C"/>
          <w:sz w:val="30"/>
          <w:szCs w:val="30"/>
        </w:rPr>
      </w:pPr>
      <w:r w:rsidRPr="004232D5">
        <w:rPr>
          <w:rFonts w:ascii="IBM Plex Sans" w:hAnsi="IBM Plex Sans"/>
          <w:sz w:val="20"/>
          <w:szCs w:val="20"/>
        </w:rPr>
        <w:t xml:space="preserve">   </w:t>
      </w:r>
      <w:r w:rsidRPr="004232D5">
        <w:rPr>
          <w:rFonts w:ascii="IBM Plex Sans" w:hAnsi="IBM Plex Sans"/>
          <w:b/>
          <w:color w:val="15420C"/>
          <w:sz w:val="30"/>
          <w:szCs w:val="30"/>
        </w:rPr>
        <w:t xml:space="preserve">RISK MANAGEMENT POLICY </w:t>
      </w:r>
    </w:p>
    <w:p w:rsidR="00570B02" w:rsidRPr="004232D5" w:rsidRDefault="00570B02" w:rsidP="004232D5">
      <w:pPr>
        <w:rPr>
          <w:rFonts w:ascii="IBM Plex Sans" w:hAnsi="IBM Plex Sans"/>
          <w:sz w:val="20"/>
          <w:szCs w:val="20"/>
        </w:rPr>
      </w:pPr>
    </w:p>
    <w:p w:rsidR="00D05D84" w:rsidRPr="004232D5" w:rsidRDefault="00E515E8" w:rsidP="004232D5">
      <w:pPr>
        <w:spacing w:line="240" w:lineRule="auto"/>
        <w:ind w:left="146" w:right="9"/>
        <w:rPr>
          <w:rFonts w:ascii="IBM Plex Sans" w:hAnsi="IBM Plex Sans"/>
          <w:sz w:val="20"/>
          <w:szCs w:val="20"/>
        </w:rPr>
      </w:pPr>
      <w:r w:rsidRPr="004232D5">
        <w:rPr>
          <w:rFonts w:ascii="IBM Plex Sans" w:hAnsi="IBM Plex Sans"/>
          <w:sz w:val="20"/>
          <w:szCs w:val="20"/>
        </w:rPr>
        <w:t xml:space="preserve">The Board is responsible for approving and reviewing </w:t>
      </w:r>
      <w:r w:rsidR="00E3284A">
        <w:rPr>
          <w:rFonts w:ascii="IBM Plex Sans" w:hAnsi="IBM Plex Sans"/>
          <w:sz w:val="20"/>
          <w:szCs w:val="20"/>
        </w:rPr>
        <w:t>the Acumentis</w:t>
      </w:r>
      <w:r w:rsidRPr="004232D5">
        <w:rPr>
          <w:rFonts w:ascii="IBM Plex Sans" w:hAnsi="IBM Plex Sans"/>
          <w:sz w:val="20"/>
          <w:szCs w:val="20"/>
        </w:rPr>
        <w:t xml:space="preserve"> Risk Management Framework. </w:t>
      </w:r>
    </w:p>
    <w:p w:rsidR="00D05D84" w:rsidRPr="004232D5" w:rsidRDefault="00E515E8" w:rsidP="004232D5">
      <w:pPr>
        <w:spacing w:after="0" w:line="240" w:lineRule="auto"/>
        <w:ind w:left="151" w:firstLine="0"/>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line="240" w:lineRule="auto"/>
        <w:ind w:left="146" w:right="9"/>
        <w:rPr>
          <w:rFonts w:ascii="IBM Plex Sans" w:hAnsi="IBM Plex Sans"/>
          <w:sz w:val="20"/>
          <w:szCs w:val="20"/>
        </w:rPr>
      </w:pPr>
      <w:r w:rsidRPr="004232D5">
        <w:rPr>
          <w:rFonts w:ascii="IBM Plex Sans" w:hAnsi="IBM Plex Sans"/>
          <w:sz w:val="20"/>
          <w:szCs w:val="20"/>
        </w:rPr>
        <w:t>The</w:t>
      </w:r>
      <w:r w:rsidR="004004D3" w:rsidRPr="004232D5">
        <w:rPr>
          <w:rFonts w:ascii="IBM Plex Sans" w:hAnsi="IBM Plex Sans"/>
          <w:sz w:val="20"/>
          <w:szCs w:val="20"/>
        </w:rPr>
        <w:t xml:space="preserve"> operation of the framework and the</w:t>
      </w:r>
      <w:r w:rsidRPr="004232D5">
        <w:rPr>
          <w:rFonts w:ascii="IBM Plex Sans" w:hAnsi="IBM Plex Sans"/>
          <w:sz w:val="20"/>
          <w:szCs w:val="20"/>
        </w:rPr>
        <w:t xml:space="preserve"> management of risk and the implementation of mitigation measures are the responsibility of management. </w:t>
      </w:r>
    </w:p>
    <w:p w:rsidR="00D05D84" w:rsidRPr="004232D5" w:rsidRDefault="00E515E8" w:rsidP="004232D5">
      <w:pPr>
        <w:spacing w:after="0" w:line="240" w:lineRule="auto"/>
        <w:ind w:left="151" w:firstLine="0"/>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line="240" w:lineRule="auto"/>
        <w:ind w:left="146" w:right="9"/>
        <w:rPr>
          <w:rFonts w:ascii="IBM Plex Sans" w:hAnsi="IBM Plex Sans"/>
          <w:sz w:val="20"/>
          <w:szCs w:val="20"/>
        </w:rPr>
      </w:pPr>
      <w:r w:rsidRPr="004232D5">
        <w:rPr>
          <w:rFonts w:ascii="IBM Plex Sans" w:hAnsi="IBM Plex Sans"/>
          <w:sz w:val="20"/>
          <w:szCs w:val="20"/>
        </w:rPr>
        <w:t xml:space="preserve">On an annual basis the Board considers the significant business risks applicable to the business and ongoing operations. Additionally, the Board considers risk profiles as part of the annual strategy and budget reviews. </w:t>
      </w:r>
    </w:p>
    <w:p w:rsidR="00D05D84" w:rsidRPr="004232D5" w:rsidRDefault="00E515E8" w:rsidP="004232D5">
      <w:pPr>
        <w:spacing w:after="0" w:line="240" w:lineRule="auto"/>
        <w:ind w:left="151" w:firstLine="0"/>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line="240" w:lineRule="auto"/>
        <w:ind w:left="146" w:right="9"/>
        <w:rPr>
          <w:rFonts w:ascii="IBM Plex Sans" w:hAnsi="IBM Plex Sans"/>
          <w:sz w:val="20"/>
          <w:szCs w:val="20"/>
        </w:rPr>
      </w:pPr>
      <w:r w:rsidRPr="004232D5">
        <w:rPr>
          <w:rFonts w:ascii="IBM Plex Sans" w:hAnsi="IBM Plex Sans"/>
          <w:sz w:val="20"/>
          <w:szCs w:val="20"/>
        </w:rPr>
        <w:t xml:space="preserve">To assist in discharging its responsibility in relation to risk management, the Board has delegated certain risk activities to the Audit and Risk Committee. The responsibilities of the Committee are contained in the Committee’s charter. </w:t>
      </w:r>
    </w:p>
    <w:p w:rsidR="00D05D84" w:rsidRPr="004232D5" w:rsidRDefault="00E515E8" w:rsidP="004232D5">
      <w:pPr>
        <w:spacing w:after="0" w:line="240" w:lineRule="auto"/>
        <w:ind w:left="151" w:firstLine="0"/>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line="240" w:lineRule="auto"/>
        <w:ind w:left="146" w:right="9"/>
        <w:rPr>
          <w:rFonts w:ascii="IBM Plex Sans" w:hAnsi="IBM Plex Sans"/>
          <w:sz w:val="20"/>
          <w:szCs w:val="20"/>
        </w:rPr>
      </w:pPr>
      <w:r w:rsidRPr="004232D5">
        <w:rPr>
          <w:rFonts w:ascii="IBM Plex Sans" w:hAnsi="IBM Plex Sans"/>
          <w:sz w:val="20"/>
          <w:szCs w:val="20"/>
        </w:rPr>
        <w:t xml:space="preserve">The Audit and Risk Committee’s primary function in the Risk Framework is to assist the Board in its responsibility to exercise due care, diligence and skill in relation to </w:t>
      </w:r>
      <w:r w:rsidR="004232D5">
        <w:rPr>
          <w:rFonts w:ascii="IBM Plex Sans" w:hAnsi="IBM Plex Sans"/>
          <w:sz w:val="20"/>
          <w:szCs w:val="20"/>
        </w:rPr>
        <w:t>Acumentis</w:t>
      </w:r>
      <w:r w:rsidRPr="004232D5">
        <w:rPr>
          <w:rFonts w:ascii="IBM Plex Sans" w:hAnsi="IBM Plex Sans"/>
          <w:sz w:val="20"/>
          <w:szCs w:val="20"/>
        </w:rPr>
        <w:t xml:space="preserve"> in the: </w:t>
      </w:r>
    </w:p>
    <w:p w:rsidR="00D05D84" w:rsidRPr="004232D5" w:rsidRDefault="00E515E8" w:rsidP="004232D5">
      <w:pPr>
        <w:spacing w:after="12" w:line="240" w:lineRule="auto"/>
        <w:ind w:left="19" w:firstLine="0"/>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numPr>
          <w:ilvl w:val="0"/>
          <w:numId w:val="6"/>
        </w:numPr>
        <w:spacing w:line="240" w:lineRule="auto"/>
        <w:ind w:right="9" w:hanging="338"/>
        <w:rPr>
          <w:rFonts w:ascii="IBM Plex Sans" w:hAnsi="IBM Plex Sans"/>
          <w:sz w:val="20"/>
          <w:szCs w:val="20"/>
        </w:rPr>
      </w:pPr>
      <w:r w:rsidRPr="004232D5">
        <w:rPr>
          <w:rFonts w:ascii="IBM Plex Sans" w:hAnsi="IBM Plex Sans"/>
          <w:sz w:val="20"/>
          <w:szCs w:val="20"/>
        </w:rPr>
        <w:t xml:space="preserve">review of Management processes for the identification of significant business risks and exposures; </w:t>
      </w:r>
    </w:p>
    <w:p w:rsidR="00D05D84" w:rsidRPr="004232D5" w:rsidRDefault="00D05D84" w:rsidP="004232D5">
      <w:pPr>
        <w:spacing w:after="0" w:line="240" w:lineRule="auto"/>
        <w:ind w:left="0" w:firstLine="45"/>
        <w:rPr>
          <w:rFonts w:ascii="IBM Plex Sans" w:hAnsi="IBM Plex Sans"/>
          <w:sz w:val="20"/>
          <w:szCs w:val="20"/>
        </w:rPr>
      </w:pPr>
    </w:p>
    <w:p w:rsidR="00D05D84" w:rsidRPr="004232D5" w:rsidRDefault="00E515E8" w:rsidP="004232D5">
      <w:pPr>
        <w:numPr>
          <w:ilvl w:val="0"/>
          <w:numId w:val="6"/>
        </w:numPr>
        <w:spacing w:line="240" w:lineRule="auto"/>
        <w:ind w:right="9" w:hanging="338"/>
        <w:rPr>
          <w:rFonts w:ascii="IBM Plex Sans" w:hAnsi="IBM Plex Sans"/>
          <w:sz w:val="20"/>
          <w:szCs w:val="20"/>
        </w:rPr>
      </w:pPr>
      <w:r w:rsidRPr="004232D5">
        <w:rPr>
          <w:rFonts w:ascii="IBM Plex Sans" w:hAnsi="IBM Plex Sans"/>
          <w:sz w:val="20"/>
          <w:szCs w:val="20"/>
        </w:rPr>
        <w:t xml:space="preserve">review and assessment of the adequacy of management information and internal control structures; and </w:t>
      </w:r>
    </w:p>
    <w:p w:rsidR="00D05D84" w:rsidRPr="004232D5" w:rsidRDefault="00D05D84" w:rsidP="004232D5">
      <w:pPr>
        <w:spacing w:after="12" w:line="240" w:lineRule="auto"/>
        <w:ind w:left="19" w:firstLine="45"/>
        <w:rPr>
          <w:rFonts w:ascii="IBM Plex Sans" w:hAnsi="IBM Plex Sans"/>
          <w:sz w:val="20"/>
          <w:szCs w:val="20"/>
        </w:rPr>
      </w:pPr>
    </w:p>
    <w:p w:rsidR="00D05D84" w:rsidRPr="004232D5" w:rsidRDefault="00E515E8" w:rsidP="004232D5">
      <w:pPr>
        <w:numPr>
          <w:ilvl w:val="0"/>
          <w:numId w:val="6"/>
        </w:numPr>
        <w:spacing w:line="240" w:lineRule="auto"/>
        <w:ind w:right="9" w:hanging="338"/>
        <w:rPr>
          <w:rFonts w:ascii="IBM Plex Sans" w:hAnsi="IBM Plex Sans"/>
          <w:sz w:val="20"/>
          <w:szCs w:val="20"/>
        </w:rPr>
      </w:pPr>
      <w:r w:rsidRPr="004232D5">
        <w:rPr>
          <w:rFonts w:ascii="IBM Plex Sans" w:hAnsi="IBM Plex Sans"/>
          <w:sz w:val="20"/>
          <w:szCs w:val="20"/>
        </w:rPr>
        <w:t xml:space="preserve">assessment of </w:t>
      </w:r>
      <w:r w:rsidR="00E3284A">
        <w:rPr>
          <w:rFonts w:ascii="IBM Plex Sans" w:hAnsi="IBM Plex Sans"/>
          <w:sz w:val="20"/>
          <w:szCs w:val="20"/>
        </w:rPr>
        <w:t>Acumentis</w:t>
      </w:r>
      <w:r w:rsidRPr="004232D5">
        <w:rPr>
          <w:rFonts w:ascii="IBM Plex Sans" w:hAnsi="IBM Plex Sans"/>
          <w:sz w:val="20"/>
          <w:szCs w:val="20"/>
        </w:rPr>
        <w:t xml:space="preserve"> adequacy in managing risk. </w:t>
      </w:r>
    </w:p>
    <w:p w:rsidR="00D05D84" w:rsidRPr="004232D5" w:rsidRDefault="00D05D84" w:rsidP="004232D5">
      <w:pPr>
        <w:spacing w:after="0" w:line="240" w:lineRule="auto"/>
        <w:ind w:left="19" w:firstLine="45"/>
        <w:rPr>
          <w:rFonts w:ascii="IBM Plex Sans" w:hAnsi="IBM Plex Sans"/>
          <w:sz w:val="20"/>
          <w:szCs w:val="20"/>
        </w:rPr>
      </w:pPr>
    </w:p>
    <w:p w:rsidR="00D05D84" w:rsidRPr="004232D5" w:rsidRDefault="00E515E8" w:rsidP="004232D5">
      <w:pPr>
        <w:spacing w:line="240" w:lineRule="auto"/>
        <w:ind w:left="146" w:right="9"/>
        <w:rPr>
          <w:rFonts w:ascii="IBM Plex Sans" w:hAnsi="IBM Plex Sans"/>
          <w:sz w:val="20"/>
          <w:szCs w:val="20"/>
        </w:rPr>
      </w:pPr>
      <w:r w:rsidRPr="004232D5">
        <w:rPr>
          <w:rFonts w:ascii="IBM Plex Sans" w:hAnsi="IBM Plex Sans"/>
          <w:sz w:val="20"/>
          <w:szCs w:val="20"/>
        </w:rPr>
        <w:t xml:space="preserve">The Committee plays a key role for the Board in oversight of management’s application of the ASX Corporate Governance Council Guidelines in respect of Financial Reporting and Risk oversight. </w:t>
      </w:r>
    </w:p>
    <w:p w:rsidR="004232D5" w:rsidRDefault="004232D5" w:rsidP="004232D5">
      <w:pPr>
        <w:spacing w:after="0" w:line="240" w:lineRule="auto"/>
        <w:ind w:left="19" w:firstLine="0"/>
        <w:rPr>
          <w:rFonts w:ascii="IBM Plex Sans" w:hAnsi="IBM Plex Sans"/>
          <w:sz w:val="20"/>
          <w:szCs w:val="20"/>
        </w:rPr>
        <w:sectPr w:rsidR="004232D5">
          <w:headerReference w:type="default" r:id="rId7"/>
          <w:footerReference w:type="default" r:id="rId8"/>
          <w:pgSz w:w="12240" w:h="15840"/>
          <w:pgMar w:top="401" w:right="1685" w:bottom="195" w:left="1717" w:header="720" w:footer="720" w:gutter="0"/>
          <w:cols w:space="720"/>
        </w:sectPr>
      </w:pPr>
    </w:p>
    <w:p w:rsidR="00D05D84" w:rsidRPr="004232D5" w:rsidRDefault="004004D3" w:rsidP="004232D5">
      <w:pPr>
        <w:pStyle w:val="Heading2"/>
        <w:jc w:val="both"/>
        <w:rPr>
          <w:rFonts w:ascii="IBM Plex Sans" w:hAnsi="IBM Plex Sans"/>
          <w:color w:val="15420C"/>
          <w:sz w:val="24"/>
          <w:szCs w:val="20"/>
        </w:rPr>
      </w:pPr>
      <w:r w:rsidRPr="004232D5">
        <w:rPr>
          <w:rFonts w:ascii="IBM Plex Sans" w:hAnsi="IBM Plex Sans"/>
          <w:color w:val="15420C"/>
          <w:sz w:val="24"/>
          <w:szCs w:val="20"/>
        </w:rPr>
        <w:lastRenderedPageBreak/>
        <w:t>R</w:t>
      </w:r>
      <w:r w:rsidR="00E515E8" w:rsidRPr="004232D5">
        <w:rPr>
          <w:rFonts w:ascii="IBM Plex Sans" w:hAnsi="IBM Plex Sans"/>
          <w:color w:val="15420C"/>
          <w:sz w:val="24"/>
          <w:szCs w:val="20"/>
        </w:rPr>
        <w:t xml:space="preserve">isk Profile &amp; Management of Risks </w:t>
      </w:r>
    </w:p>
    <w:p w:rsidR="00D05D84" w:rsidRPr="004232D5" w:rsidRDefault="004232D5" w:rsidP="004232D5">
      <w:pPr>
        <w:spacing w:line="240" w:lineRule="auto"/>
        <w:rPr>
          <w:rFonts w:ascii="IBM Plex Sans" w:hAnsi="IBM Plex Sans"/>
          <w:sz w:val="20"/>
          <w:szCs w:val="20"/>
        </w:rPr>
      </w:pPr>
      <w:r>
        <w:rPr>
          <w:rFonts w:ascii="IBM Plex Sans" w:hAnsi="IBM Plex Sans"/>
          <w:sz w:val="20"/>
          <w:szCs w:val="20"/>
        </w:rPr>
        <w:t xml:space="preserve">Acumentis </w:t>
      </w:r>
      <w:r w:rsidR="00E515E8" w:rsidRPr="004232D5">
        <w:rPr>
          <w:rFonts w:ascii="IBM Plex Sans" w:hAnsi="IBM Plex Sans"/>
          <w:sz w:val="20"/>
          <w:szCs w:val="20"/>
        </w:rPr>
        <w:t xml:space="preserve">regards business risks as “threats to the achievement of </w:t>
      </w:r>
      <w:r>
        <w:rPr>
          <w:rFonts w:ascii="IBM Plex Sans" w:hAnsi="IBM Plex Sans"/>
          <w:sz w:val="20"/>
          <w:szCs w:val="20"/>
        </w:rPr>
        <w:t>Acumentis</w:t>
      </w:r>
      <w:r w:rsidR="00E515E8" w:rsidRPr="004232D5">
        <w:rPr>
          <w:rFonts w:ascii="IBM Plex Sans" w:hAnsi="IBM Plex Sans"/>
          <w:sz w:val="20"/>
          <w:szCs w:val="20"/>
        </w:rPr>
        <w:t xml:space="preserve"> objectives and goals and to the successful execution of its strategies”.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 </w:t>
      </w:r>
    </w:p>
    <w:p w:rsidR="00D05D84" w:rsidRPr="004232D5" w:rsidRDefault="004232D5" w:rsidP="004232D5">
      <w:pPr>
        <w:spacing w:line="240" w:lineRule="auto"/>
        <w:rPr>
          <w:rFonts w:ascii="IBM Plex Sans" w:hAnsi="IBM Plex Sans"/>
          <w:sz w:val="20"/>
          <w:szCs w:val="20"/>
        </w:rPr>
      </w:pPr>
      <w:r>
        <w:rPr>
          <w:rFonts w:ascii="IBM Plex Sans" w:hAnsi="IBM Plex Sans"/>
          <w:sz w:val="20"/>
          <w:szCs w:val="20"/>
        </w:rPr>
        <w:t>Acumentis’</w:t>
      </w:r>
      <w:r w:rsidR="00E515E8" w:rsidRPr="004232D5">
        <w:rPr>
          <w:rFonts w:ascii="IBM Plex Sans" w:hAnsi="IBM Plex Sans"/>
          <w:sz w:val="20"/>
          <w:szCs w:val="20"/>
        </w:rPr>
        <w:t xml:space="preserve"> l Risk Management Framework is based on the Australian/New Zealand Standard (AS/NZS 4360:1999) for risk management.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line="240" w:lineRule="auto"/>
        <w:rPr>
          <w:rFonts w:ascii="IBM Plex Sans" w:hAnsi="IBM Plex Sans"/>
          <w:sz w:val="20"/>
          <w:szCs w:val="20"/>
        </w:rPr>
      </w:pPr>
      <w:r w:rsidRPr="004232D5">
        <w:rPr>
          <w:rFonts w:ascii="IBM Plex Sans" w:hAnsi="IBM Plex Sans"/>
          <w:sz w:val="20"/>
          <w:szCs w:val="20"/>
        </w:rPr>
        <w:t xml:space="preserve">Each division of </w:t>
      </w:r>
      <w:r w:rsidR="00E3284A">
        <w:rPr>
          <w:rFonts w:ascii="IBM Plex Sans" w:hAnsi="IBM Plex Sans"/>
          <w:sz w:val="20"/>
          <w:szCs w:val="20"/>
        </w:rPr>
        <w:t>Acumentis</w:t>
      </w:r>
      <w:r w:rsidRPr="004232D5">
        <w:rPr>
          <w:rFonts w:ascii="IBM Plex Sans" w:hAnsi="IBM Plex Sans"/>
          <w:sz w:val="20"/>
          <w:szCs w:val="20"/>
        </w:rPr>
        <w:t xml:space="preserve"> periodically conducts reassessments to identify and rank all significant business risks arising from current operations and new business initiatives, and to identify and implement containment measures.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line="240" w:lineRule="auto"/>
        <w:rPr>
          <w:rFonts w:ascii="IBM Plex Sans" w:hAnsi="IBM Plex Sans"/>
          <w:sz w:val="20"/>
          <w:szCs w:val="20"/>
        </w:rPr>
      </w:pPr>
      <w:r w:rsidRPr="004232D5">
        <w:rPr>
          <w:rFonts w:ascii="IBM Plex Sans" w:hAnsi="IBM Plex Sans"/>
          <w:sz w:val="20"/>
          <w:szCs w:val="20"/>
        </w:rPr>
        <w:t xml:space="preserve">The list of operational risk categories used by </w:t>
      </w:r>
      <w:r w:rsidR="004232D5">
        <w:rPr>
          <w:rFonts w:ascii="IBM Plex Sans" w:hAnsi="IBM Plex Sans"/>
          <w:sz w:val="20"/>
          <w:szCs w:val="20"/>
        </w:rPr>
        <w:t xml:space="preserve">Acumentis </w:t>
      </w:r>
      <w:r w:rsidRPr="004232D5">
        <w:rPr>
          <w:rFonts w:ascii="IBM Plex Sans" w:hAnsi="IBM Plex Sans"/>
          <w:sz w:val="20"/>
          <w:szCs w:val="20"/>
        </w:rPr>
        <w:t xml:space="preserve">for assessments is available to all staff.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line="240" w:lineRule="auto"/>
        <w:rPr>
          <w:rFonts w:ascii="IBM Plex Sans" w:hAnsi="IBM Plex Sans"/>
          <w:sz w:val="20"/>
          <w:szCs w:val="20"/>
        </w:rPr>
      </w:pPr>
      <w:r w:rsidRPr="004232D5">
        <w:rPr>
          <w:rFonts w:ascii="IBM Plex Sans" w:hAnsi="IBM Plex Sans"/>
          <w:sz w:val="20"/>
          <w:szCs w:val="20"/>
        </w:rPr>
        <w:t xml:space="preserve">All staff have a responsibility to identify and manage risks within their responsibilities.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line="240" w:lineRule="auto"/>
        <w:rPr>
          <w:rFonts w:ascii="IBM Plex Sans" w:hAnsi="IBM Plex Sans"/>
          <w:sz w:val="20"/>
          <w:szCs w:val="20"/>
        </w:rPr>
      </w:pPr>
      <w:r w:rsidRPr="004232D5">
        <w:rPr>
          <w:rFonts w:ascii="IBM Plex Sans" w:hAnsi="IBM Plex Sans"/>
          <w:sz w:val="20"/>
          <w:szCs w:val="20"/>
        </w:rPr>
        <w:t xml:space="preserve">Management’s responsibility is to incorporate the risks and mitigants in the Risk Register for their area of responsibility.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The CFO (as Chief Risk Officer) and the CEO have responsibility draw the various Risk Registers within the Company together and oversight and manage mitigations, reassessments and reporting.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 </w:t>
      </w:r>
    </w:p>
    <w:p w:rsidR="004004D3" w:rsidRPr="004232D5" w:rsidRDefault="00E515E8" w:rsidP="004232D5">
      <w:pPr>
        <w:spacing w:line="240" w:lineRule="auto"/>
        <w:rPr>
          <w:rFonts w:ascii="IBM Plex Sans" w:hAnsi="IBM Plex Sans"/>
          <w:sz w:val="20"/>
          <w:szCs w:val="20"/>
        </w:rPr>
      </w:pPr>
      <w:r w:rsidRPr="004232D5">
        <w:rPr>
          <w:rFonts w:ascii="IBM Plex Sans" w:hAnsi="IBM Plex Sans"/>
          <w:sz w:val="20"/>
          <w:szCs w:val="20"/>
        </w:rPr>
        <w:t xml:space="preserve">The Risk Reassessments are reported through the Chief Financial Officer to management and the Audit and Risk Committee, and annually to the Board. </w:t>
      </w:r>
    </w:p>
    <w:p w:rsidR="00D05D84" w:rsidRPr="004232D5" w:rsidRDefault="00E515E8" w:rsidP="004232D5">
      <w:pPr>
        <w:spacing w:line="240" w:lineRule="auto"/>
        <w:rPr>
          <w:rFonts w:ascii="IBM Plex Sans" w:hAnsi="IBM Plex Sans"/>
          <w:sz w:val="20"/>
          <w:szCs w:val="20"/>
        </w:rPr>
      </w:pPr>
      <w:r w:rsidRPr="004232D5">
        <w:rPr>
          <w:rFonts w:ascii="IBM Plex Sans" w:hAnsi="IBM Plex Sans"/>
          <w:sz w:val="20"/>
          <w:szCs w:val="20"/>
        </w:rPr>
        <w:tab/>
        <w:t xml:space="preserve"> </w:t>
      </w:r>
    </w:p>
    <w:p w:rsidR="00D05D84" w:rsidRPr="004232D5" w:rsidRDefault="00E515E8" w:rsidP="004232D5">
      <w:pPr>
        <w:pStyle w:val="Heading2"/>
        <w:tabs>
          <w:tab w:val="center" w:pos="3238"/>
        </w:tabs>
        <w:spacing w:line="240" w:lineRule="auto"/>
        <w:jc w:val="both"/>
        <w:rPr>
          <w:rFonts w:ascii="IBM Plex Sans" w:hAnsi="IBM Plex Sans"/>
          <w:color w:val="15420C"/>
          <w:sz w:val="24"/>
          <w:szCs w:val="20"/>
        </w:rPr>
      </w:pPr>
      <w:r w:rsidRPr="004232D5">
        <w:rPr>
          <w:rFonts w:ascii="IBM Plex Sans" w:hAnsi="IBM Plex Sans"/>
          <w:color w:val="15420C"/>
          <w:sz w:val="24"/>
          <w:szCs w:val="20"/>
        </w:rPr>
        <w:t xml:space="preserve">Compliance &amp; Control / Assessment of Effectiveness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The Audit and Risk Committee has responsibility for oversighting management’s processes and results in identifying, assessing and monitoring risks associated with </w:t>
      </w:r>
      <w:r w:rsidR="004232D5">
        <w:rPr>
          <w:rFonts w:ascii="IBM Plex Sans" w:hAnsi="IBM Plex Sans"/>
          <w:sz w:val="20"/>
          <w:szCs w:val="20"/>
        </w:rPr>
        <w:t>Acumentis</w:t>
      </w:r>
      <w:r w:rsidRPr="004232D5">
        <w:rPr>
          <w:rFonts w:ascii="IBM Plex Sans" w:hAnsi="IBM Plex Sans"/>
          <w:sz w:val="20"/>
          <w:szCs w:val="20"/>
        </w:rPr>
        <w:t xml:space="preserve"> business operations; and the implementation and maintenance of policies and control procedures to give adequate protection against key risks. </w:t>
      </w:r>
    </w:p>
    <w:p w:rsidR="00D05D84" w:rsidRPr="004232D5" w:rsidRDefault="00E515E8" w:rsidP="004232D5">
      <w:pPr>
        <w:spacing w:after="0" w:line="240" w:lineRule="auto"/>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spacing w:line="240" w:lineRule="auto"/>
        <w:rPr>
          <w:rFonts w:ascii="IBM Plex Sans" w:hAnsi="IBM Plex Sans"/>
          <w:sz w:val="20"/>
          <w:szCs w:val="20"/>
        </w:rPr>
      </w:pPr>
      <w:r w:rsidRPr="004232D5">
        <w:rPr>
          <w:rFonts w:ascii="IBM Plex Sans" w:hAnsi="IBM Plex Sans"/>
          <w:sz w:val="20"/>
          <w:szCs w:val="20"/>
        </w:rPr>
        <w:t xml:space="preserve">The risk management and internal controls systems within </w:t>
      </w:r>
      <w:r w:rsidR="004232D5">
        <w:rPr>
          <w:rFonts w:ascii="IBM Plex Sans" w:hAnsi="IBM Plex Sans"/>
          <w:sz w:val="20"/>
          <w:szCs w:val="20"/>
        </w:rPr>
        <w:t>Acumentis</w:t>
      </w:r>
      <w:r w:rsidRPr="004232D5">
        <w:rPr>
          <w:rFonts w:ascii="IBM Plex Sans" w:hAnsi="IBM Plex Sans"/>
          <w:sz w:val="20"/>
          <w:szCs w:val="20"/>
        </w:rPr>
        <w:t xml:space="preserve"> encompass all policies, processes, practices and procedure established by management and/or the Board to provide reasonable assurance that: </w:t>
      </w:r>
    </w:p>
    <w:p w:rsidR="00D05D84" w:rsidRPr="004232D5" w:rsidRDefault="00E515E8" w:rsidP="004232D5">
      <w:pPr>
        <w:spacing w:after="12" w:line="240" w:lineRule="auto"/>
        <w:rPr>
          <w:rFonts w:ascii="IBM Plex Sans" w:hAnsi="IBM Plex Sans"/>
          <w:sz w:val="20"/>
          <w:szCs w:val="20"/>
        </w:rPr>
      </w:pPr>
      <w:r w:rsidRPr="004232D5">
        <w:rPr>
          <w:rFonts w:ascii="IBM Plex Sans" w:hAnsi="IBM Plex Sans"/>
          <w:sz w:val="20"/>
          <w:szCs w:val="20"/>
        </w:rPr>
        <w:t xml:space="preserve"> </w:t>
      </w:r>
    </w:p>
    <w:p w:rsidR="00D05D84" w:rsidRPr="004232D5" w:rsidRDefault="00E515E8" w:rsidP="004232D5">
      <w:pPr>
        <w:numPr>
          <w:ilvl w:val="0"/>
          <w:numId w:val="8"/>
        </w:numPr>
        <w:spacing w:line="240" w:lineRule="auto"/>
        <w:ind w:left="567" w:hanging="425"/>
        <w:rPr>
          <w:rFonts w:ascii="IBM Plex Sans" w:hAnsi="IBM Plex Sans"/>
          <w:sz w:val="20"/>
          <w:szCs w:val="20"/>
        </w:rPr>
      </w:pPr>
      <w:r w:rsidRPr="004232D5">
        <w:rPr>
          <w:rFonts w:ascii="IBM Plex Sans" w:hAnsi="IBM Plex Sans"/>
          <w:sz w:val="20"/>
          <w:szCs w:val="20"/>
        </w:rPr>
        <w:t xml:space="preserve">Established corporate and business strategies and objectives are achieved; </w:t>
      </w:r>
    </w:p>
    <w:p w:rsidR="00D05D84" w:rsidRPr="004232D5" w:rsidRDefault="00E515E8" w:rsidP="004232D5">
      <w:pPr>
        <w:numPr>
          <w:ilvl w:val="0"/>
          <w:numId w:val="8"/>
        </w:numPr>
        <w:spacing w:line="240" w:lineRule="auto"/>
        <w:ind w:left="567" w:hanging="425"/>
        <w:rPr>
          <w:rFonts w:ascii="IBM Plex Sans" w:hAnsi="IBM Plex Sans"/>
          <w:sz w:val="20"/>
          <w:szCs w:val="20"/>
        </w:rPr>
      </w:pPr>
      <w:r w:rsidRPr="004232D5">
        <w:rPr>
          <w:rFonts w:ascii="IBM Plex Sans" w:hAnsi="IBM Plex Sans"/>
          <w:sz w:val="20"/>
          <w:szCs w:val="20"/>
        </w:rPr>
        <w:t xml:space="preserve">Risk exposure is identified and adequately monitored and managed; </w:t>
      </w:r>
    </w:p>
    <w:p w:rsidR="00D05D84" w:rsidRPr="004232D5" w:rsidRDefault="00E515E8" w:rsidP="004232D5">
      <w:pPr>
        <w:numPr>
          <w:ilvl w:val="0"/>
          <w:numId w:val="8"/>
        </w:numPr>
        <w:spacing w:line="240" w:lineRule="auto"/>
        <w:ind w:left="567" w:hanging="425"/>
        <w:rPr>
          <w:rFonts w:ascii="IBM Plex Sans" w:hAnsi="IBM Plex Sans"/>
          <w:sz w:val="20"/>
          <w:szCs w:val="20"/>
        </w:rPr>
      </w:pPr>
      <w:r w:rsidRPr="004232D5">
        <w:rPr>
          <w:rFonts w:ascii="IBM Plex Sans" w:hAnsi="IBM Plex Sans"/>
          <w:sz w:val="20"/>
          <w:szCs w:val="20"/>
        </w:rPr>
        <w:t xml:space="preserve">Resources are acquired economically, adequately protected and managed efficiently and effectively in conducting the </w:t>
      </w:r>
      <w:r w:rsidR="004232D5">
        <w:rPr>
          <w:rFonts w:ascii="IBM Plex Sans" w:hAnsi="IBM Plex Sans"/>
          <w:sz w:val="20"/>
          <w:szCs w:val="20"/>
        </w:rPr>
        <w:t>Acumentis</w:t>
      </w:r>
      <w:r w:rsidRPr="004232D5">
        <w:rPr>
          <w:rFonts w:ascii="IBM Plex Sans" w:hAnsi="IBM Plex Sans"/>
          <w:sz w:val="20"/>
          <w:szCs w:val="20"/>
        </w:rPr>
        <w:t xml:space="preserve"> business; </w:t>
      </w:r>
    </w:p>
    <w:p w:rsidR="00D05D84" w:rsidRPr="004232D5" w:rsidRDefault="00E515E8" w:rsidP="004232D5">
      <w:pPr>
        <w:numPr>
          <w:ilvl w:val="0"/>
          <w:numId w:val="8"/>
        </w:numPr>
        <w:spacing w:line="240" w:lineRule="auto"/>
        <w:ind w:left="567" w:right="9" w:hanging="425"/>
        <w:rPr>
          <w:rFonts w:ascii="IBM Plex Sans" w:hAnsi="IBM Plex Sans"/>
          <w:sz w:val="20"/>
          <w:szCs w:val="20"/>
        </w:rPr>
      </w:pPr>
      <w:r w:rsidRPr="004232D5">
        <w:rPr>
          <w:rFonts w:ascii="IBM Plex Sans" w:hAnsi="IBM Plex Sans"/>
          <w:sz w:val="20"/>
          <w:szCs w:val="20"/>
        </w:rPr>
        <w:t xml:space="preserve">Significant financial managerial and operating information is accurate, relevant, timely and reliable; and </w:t>
      </w:r>
    </w:p>
    <w:p w:rsidR="00D05D84" w:rsidRPr="004232D5" w:rsidRDefault="00E515E8" w:rsidP="004232D5">
      <w:pPr>
        <w:numPr>
          <w:ilvl w:val="0"/>
          <w:numId w:val="8"/>
        </w:numPr>
        <w:spacing w:line="240" w:lineRule="auto"/>
        <w:ind w:left="567" w:right="9" w:hanging="425"/>
        <w:rPr>
          <w:rFonts w:ascii="IBM Plex Sans" w:hAnsi="IBM Plex Sans"/>
          <w:sz w:val="20"/>
          <w:szCs w:val="20"/>
        </w:rPr>
      </w:pPr>
      <w:r w:rsidRPr="004232D5">
        <w:rPr>
          <w:rFonts w:ascii="IBM Plex Sans" w:hAnsi="IBM Plex Sans"/>
          <w:sz w:val="20"/>
          <w:szCs w:val="20"/>
        </w:rPr>
        <w:t xml:space="preserve">There is an adequate level of compliance with policies, standards, procedures and applicable laws and regulations. </w:t>
      </w:r>
    </w:p>
    <w:p w:rsidR="00D05D84" w:rsidRPr="004232D5" w:rsidRDefault="00D05D84" w:rsidP="004232D5">
      <w:pPr>
        <w:spacing w:after="0" w:line="240" w:lineRule="auto"/>
        <w:ind w:left="0" w:firstLine="0"/>
        <w:rPr>
          <w:rFonts w:ascii="IBM Plex Sans" w:hAnsi="IBM Plex Sans"/>
          <w:sz w:val="20"/>
          <w:szCs w:val="20"/>
        </w:rPr>
      </w:pPr>
    </w:p>
    <w:p w:rsidR="00D05D84" w:rsidRPr="004232D5" w:rsidRDefault="00E515E8" w:rsidP="004232D5">
      <w:pPr>
        <w:spacing w:line="240" w:lineRule="auto"/>
        <w:ind w:left="29" w:right="9"/>
        <w:rPr>
          <w:rFonts w:ascii="IBM Plex Sans" w:hAnsi="IBM Plex Sans"/>
          <w:sz w:val="20"/>
          <w:szCs w:val="20"/>
        </w:rPr>
      </w:pPr>
      <w:r w:rsidRPr="004232D5">
        <w:rPr>
          <w:rFonts w:ascii="IBM Plex Sans" w:hAnsi="IBM Plex Sans"/>
          <w:sz w:val="20"/>
          <w:szCs w:val="20"/>
        </w:rPr>
        <w:t xml:space="preserve">APPROVED BY THE BOARD JULY 2019 </w:t>
      </w:r>
    </w:p>
    <w:p w:rsidR="00D05D84" w:rsidRPr="004232D5" w:rsidRDefault="00E515E8" w:rsidP="00E3284A">
      <w:pPr>
        <w:spacing w:after="0" w:line="240" w:lineRule="auto"/>
        <w:ind w:left="19" w:firstLine="0"/>
        <w:rPr>
          <w:rFonts w:ascii="IBM Plex Sans" w:hAnsi="IBM Plex Sans"/>
          <w:sz w:val="20"/>
          <w:szCs w:val="20"/>
        </w:rPr>
      </w:pPr>
      <w:r w:rsidRPr="004232D5">
        <w:rPr>
          <w:rFonts w:ascii="IBM Plex Sans" w:hAnsi="IBM Plex Sans"/>
          <w:sz w:val="20"/>
          <w:szCs w:val="20"/>
        </w:rPr>
        <w:t xml:space="preserve"> </w:t>
      </w:r>
      <w:bookmarkStart w:id="1" w:name="_GoBack"/>
      <w:bookmarkEnd w:id="1"/>
    </w:p>
    <w:sectPr w:rsidR="00D05D84" w:rsidRPr="004232D5">
      <w:headerReference w:type="default" r:id="rId9"/>
      <w:footerReference w:type="default" r:id="rId10"/>
      <w:pgSz w:w="12240" w:h="15840"/>
      <w:pgMar w:top="401" w:right="1685" w:bottom="195" w:left="17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2D5" w:rsidRDefault="004232D5" w:rsidP="004232D5">
      <w:pPr>
        <w:spacing w:after="0" w:line="240" w:lineRule="auto"/>
      </w:pPr>
      <w:r>
        <w:separator/>
      </w:r>
    </w:p>
  </w:endnote>
  <w:endnote w:type="continuationSeparator" w:id="0">
    <w:p w:rsidR="004232D5" w:rsidRDefault="004232D5" w:rsidP="0042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2D5" w:rsidRDefault="004232D5" w:rsidP="004232D5">
    <w:pPr>
      <w:pStyle w:val="Footer"/>
      <w:jc w:val="center"/>
    </w:pPr>
    <w:r>
      <w:rPr>
        <w:noProof/>
      </w:rPr>
      <w:drawing>
        <wp:anchor distT="0" distB="0" distL="114300" distR="114300" simplePos="0" relativeHeight="251659264" behindDoc="0" locked="0" layoutInCell="1" allowOverlap="1">
          <wp:simplePos x="0" y="0"/>
          <wp:positionH relativeFrom="margin">
            <wp:posOffset>0</wp:posOffset>
          </wp:positionH>
          <wp:positionV relativeFrom="paragraph">
            <wp:posOffset>-56820</wp:posOffset>
          </wp:positionV>
          <wp:extent cx="586740" cy="899795"/>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4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IBM Plex Sans" w:hAnsi="IBM Plex Sans"/>
        <w:b/>
        <w:sz w:val="16"/>
        <w:szCs w:val="16"/>
      </w:rPr>
      <w:t xml:space="preserve"> </w:t>
    </w:r>
    <w:bookmarkStart w:id="0" w:name="_Hlk26450876"/>
    <w:r>
      <w:rPr>
        <w:rFonts w:ascii="IBM Plex Sans" w:hAnsi="IBM Plex Sans"/>
        <w:b/>
        <w:sz w:val="16"/>
        <w:szCs w:val="16"/>
      </w:rPr>
      <w:t>Liability limited by a scheme approved under the Professional Standards Legislation</w:t>
    </w:r>
    <w:bookmarkEnd w:id="0"/>
  </w:p>
  <w:p w:rsidR="004232D5" w:rsidRDefault="004232D5" w:rsidP="004232D5">
    <w:pPr>
      <w:pStyle w:val="Footer"/>
    </w:pPr>
  </w:p>
  <w:p w:rsidR="004232D5" w:rsidRDefault="004232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2D5" w:rsidRDefault="004232D5" w:rsidP="004232D5">
    <w:pPr>
      <w:pStyle w:val="Footer"/>
      <w:jc w:val="center"/>
    </w:pPr>
    <w:r>
      <w:rPr>
        <w:noProof/>
      </w:rPr>
      <w:drawing>
        <wp:anchor distT="0" distB="0" distL="114300" distR="114300" simplePos="0" relativeHeight="251661312" behindDoc="0" locked="0" layoutInCell="1" allowOverlap="1" wp14:anchorId="52A0E1F9" wp14:editId="0109EFB2">
          <wp:simplePos x="0" y="0"/>
          <wp:positionH relativeFrom="margin">
            <wp:posOffset>0</wp:posOffset>
          </wp:positionH>
          <wp:positionV relativeFrom="paragraph">
            <wp:posOffset>-56820</wp:posOffset>
          </wp:positionV>
          <wp:extent cx="586740" cy="899795"/>
          <wp:effectExtent l="0" t="0" r="381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4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IBM Plex Sans" w:hAnsi="IBM Plex Sans"/>
        <w:b/>
        <w:sz w:val="16"/>
        <w:szCs w:val="16"/>
      </w:rPr>
      <w:t xml:space="preserve"> </w:t>
    </w:r>
  </w:p>
  <w:p w:rsidR="004232D5" w:rsidRDefault="004232D5" w:rsidP="004232D5">
    <w:pPr>
      <w:pStyle w:val="Footer"/>
    </w:pPr>
  </w:p>
  <w:p w:rsidR="004232D5" w:rsidRDefault="004232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2D5" w:rsidRDefault="004232D5" w:rsidP="004232D5">
      <w:pPr>
        <w:spacing w:after="0" w:line="240" w:lineRule="auto"/>
      </w:pPr>
      <w:r>
        <w:separator/>
      </w:r>
    </w:p>
  </w:footnote>
  <w:footnote w:type="continuationSeparator" w:id="0">
    <w:p w:rsidR="004232D5" w:rsidRDefault="004232D5" w:rsidP="00423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2D5" w:rsidRDefault="004232D5" w:rsidP="004232D5">
    <w:pPr>
      <w:pStyle w:val="Header"/>
      <w:jc w:val="right"/>
    </w:pPr>
    <w:r w:rsidRPr="004232D5">
      <w:rPr>
        <w:rFonts w:ascii="IBM Plex Sans" w:hAnsi="IBM Plex Sans"/>
        <w:noProof/>
        <w:sz w:val="20"/>
        <w:szCs w:val="20"/>
      </w:rPr>
      <w:drawing>
        <wp:inline distT="0" distB="0" distL="0" distR="0" wp14:anchorId="4D561F84" wp14:editId="7C03E2FB">
          <wp:extent cx="1439545" cy="395605"/>
          <wp:effectExtent l="0" t="0" r="8255" b="4445"/>
          <wp:docPr id="7" name="Picture 7"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7" descr="A close up of a sig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395605"/>
                  </a:xfrm>
                  <a:prstGeom prst="rect">
                    <a:avLst/>
                  </a:prstGeom>
                </pic:spPr>
              </pic:pic>
            </a:graphicData>
          </a:graphic>
        </wp:inline>
      </w:drawing>
    </w:r>
  </w:p>
  <w:p w:rsidR="004232D5" w:rsidRDefault="004232D5">
    <w:pPr>
      <w:pStyle w:val="Header"/>
    </w:pPr>
  </w:p>
  <w:p w:rsidR="004232D5" w:rsidRPr="004232D5" w:rsidRDefault="004232D5" w:rsidP="004232D5">
    <w:pPr>
      <w:spacing w:after="54" w:line="256" w:lineRule="auto"/>
      <w:ind w:left="0" w:right="191" w:firstLine="0"/>
      <w:jc w:val="right"/>
      <w:rPr>
        <w:rFonts w:ascii="IBM Plex Sans" w:hAnsi="IBM Plex Sans"/>
        <w:sz w:val="18"/>
        <w:szCs w:val="20"/>
      </w:rPr>
    </w:pPr>
    <w:r w:rsidRPr="004232D5">
      <w:rPr>
        <w:rFonts w:ascii="IBM Plex Sans" w:hAnsi="IBM Plex Sans"/>
        <w:sz w:val="18"/>
        <w:szCs w:val="20"/>
      </w:rPr>
      <w:t xml:space="preserve">ABN: 50 102 320 329 </w:t>
    </w:r>
  </w:p>
  <w:p w:rsidR="004232D5" w:rsidRDefault="004232D5">
    <w:pPr>
      <w:pStyle w:val="Header"/>
    </w:pPr>
  </w:p>
  <w:p w:rsidR="004232D5" w:rsidRDefault="004232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2D5" w:rsidRDefault="004232D5" w:rsidP="004232D5">
    <w:pPr>
      <w:pStyle w:val="Header"/>
      <w:jc w:val="right"/>
    </w:pPr>
  </w:p>
  <w:p w:rsidR="004232D5" w:rsidRDefault="004232D5" w:rsidP="004232D5">
    <w:pPr>
      <w:pStyle w:val="Header"/>
      <w:jc w:val="right"/>
    </w:pPr>
    <w:r>
      <w:rPr>
        <w:noProof/>
      </w:rPr>
      <w:drawing>
        <wp:inline distT="0" distB="0" distL="0" distR="0" wp14:anchorId="03045DD0" wp14:editId="598F9C59">
          <wp:extent cx="539750" cy="461645"/>
          <wp:effectExtent l="0" t="0" r="0" b="0"/>
          <wp:docPr id="1" name="Picture 1"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39750" cy="461645"/>
                  </a:xfrm>
                  <a:prstGeom prst="rect">
                    <a:avLst/>
                  </a:prstGeom>
                </pic:spPr>
              </pic:pic>
            </a:graphicData>
          </a:graphic>
        </wp:inline>
      </w:drawing>
    </w:r>
  </w:p>
  <w:p w:rsidR="004232D5" w:rsidRDefault="004232D5">
    <w:pPr>
      <w:pStyle w:val="Header"/>
    </w:pPr>
  </w:p>
  <w:p w:rsidR="004232D5" w:rsidRDefault="004232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C0A48"/>
    <w:multiLevelType w:val="hybridMultilevel"/>
    <w:tmpl w:val="564C3218"/>
    <w:lvl w:ilvl="0" w:tplc="1B18AB66">
      <w:start w:val="1"/>
      <w:numFmt w:val="bullet"/>
      <w:lvlText w:val="•"/>
      <w:lvlJc w:val="left"/>
      <w:pPr>
        <w:ind w:left="47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0943428">
      <w:start w:val="1"/>
      <w:numFmt w:val="bullet"/>
      <w:lvlText w:val="o"/>
      <w:lvlJc w:val="left"/>
      <w:pPr>
        <w:ind w:left="123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F90A684">
      <w:start w:val="1"/>
      <w:numFmt w:val="bullet"/>
      <w:lvlText w:val="▪"/>
      <w:lvlJc w:val="left"/>
      <w:pPr>
        <w:ind w:left="195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AF8C1272">
      <w:start w:val="1"/>
      <w:numFmt w:val="bullet"/>
      <w:lvlText w:val="•"/>
      <w:lvlJc w:val="left"/>
      <w:pPr>
        <w:ind w:left="267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5D4ABF4">
      <w:start w:val="1"/>
      <w:numFmt w:val="bullet"/>
      <w:lvlText w:val="o"/>
      <w:lvlJc w:val="left"/>
      <w:pPr>
        <w:ind w:left="339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54968BC8">
      <w:start w:val="1"/>
      <w:numFmt w:val="bullet"/>
      <w:lvlText w:val="▪"/>
      <w:lvlJc w:val="left"/>
      <w:pPr>
        <w:ind w:left="411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F4ACF5C">
      <w:start w:val="1"/>
      <w:numFmt w:val="bullet"/>
      <w:lvlText w:val="•"/>
      <w:lvlJc w:val="left"/>
      <w:pPr>
        <w:ind w:left="483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1040878">
      <w:start w:val="1"/>
      <w:numFmt w:val="bullet"/>
      <w:lvlText w:val="o"/>
      <w:lvlJc w:val="left"/>
      <w:pPr>
        <w:ind w:left="555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A98543E">
      <w:start w:val="1"/>
      <w:numFmt w:val="bullet"/>
      <w:lvlText w:val="▪"/>
      <w:lvlJc w:val="left"/>
      <w:pPr>
        <w:ind w:left="627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18674CDD"/>
    <w:multiLevelType w:val="hybridMultilevel"/>
    <w:tmpl w:val="0160327E"/>
    <w:lvl w:ilvl="0" w:tplc="D8168198">
      <w:start w:val="1"/>
      <w:numFmt w:val="bullet"/>
      <w:lvlText w:val="•"/>
      <w:lvlJc w:val="left"/>
      <w:pPr>
        <w:ind w:left="862"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 w15:restartNumberingAfterBreak="0">
    <w:nsid w:val="24213DFF"/>
    <w:multiLevelType w:val="hybridMultilevel"/>
    <w:tmpl w:val="457AE64E"/>
    <w:lvl w:ilvl="0" w:tplc="2C960112">
      <w:start w:val="1"/>
      <w:numFmt w:val="bullet"/>
      <w:lvlText w:val=""/>
      <w:lvlJc w:val="left"/>
      <w:pPr>
        <w:ind w:left="1036"/>
      </w:pPr>
      <w:rPr>
        <w:rFonts w:ascii="Symbol" w:hAnsi="Symbol" w:hint="default"/>
        <w:b w:val="0"/>
        <w:i w:val="0"/>
        <w:strike w:val="0"/>
        <w:dstrike w:val="0"/>
        <w:color w:val="31B6AF"/>
        <w:sz w:val="19"/>
        <w:szCs w:val="19"/>
        <w:u w:val="none" w:color="000000"/>
        <w:bdr w:val="none" w:sz="0" w:space="0" w:color="auto"/>
        <w:shd w:val="clear" w:color="auto" w:fill="auto"/>
        <w:vertAlign w:val="baseline"/>
      </w:rPr>
    </w:lvl>
    <w:lvl w:ilvl="1" w:tplc="DD0A8446">
      <w:start w:val="1"/>
      <w:numFmt w:val="bullet"/>
      <w:lvlText w:val="o"/>
      <w:lvlJc w:val="left"/>
      <w:pPr>
        <w:ind w:left="175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E53CAAE4">
      <w:start w:val="1"/>
      <w:numFmt w:val="bullet"/>
      <w:lvlText w:val="▪"/>
      <w:lvlJc w:val="left"/>
      <w:pPr>
        <w:ind w:left="247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7968155A">
      <w:start w:val="1"/>
      <w:numFmt w:val="bullet"/>
      <w:lvlText w:val="•"/>
      <w:lvlJc w:val="left"/>
      <w:pPr>
        <w:ind w:left="319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0E0F2D2">
      <w:start w:val="1"/>
      <w:numFmt w:val="bullet"/>
      <w:lvlText w:val="o"/>
      <w:lvlJc w:val="left"/>
      <w:pPr>
        <w:ind w:left="391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26725662">
      <w:start w:val="1"/>
      <w:numFmt w:val="bullet"/>
      <w:lvlText w:val="▪"/>
      <w:lvlJc w:val="left"/>
      <w:pPr>
        <w:ind w:left="463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47D664F6">
      <w:start w:val="1"/>
      <w:numFmt w:val="bullet"/>
      <w:lvlText w:val="•"/>
      <w:lvlJc w:val="left"/>
      <w:pPr>
        <w:ind w:left="535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0A036D6">
      <w:start w:val="1"/>
      <w:numFmt w:val="bullet"/>
      <w:lvlText w:val="o"/>
      <w:lvlJc w:val="left"/>
      <w:pPr>
        <w:ind w:left="607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65AB00C">
      <w:start w:val="1"/>
      <w:numFmt w:val="bullet"/>
      <w:lvlText w:val="▪"/>
      <w:lvlJc w:val="left"/>
      <w:pPr>
        <w:ind w:left="679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34B9685E"/>
    <w:multiLevelType w:val="hybridMultilevel"/>
    <w:tmpl w:val="7704627C"/>
    <w:lvl w:ilvl="0" w:tplc="A7747690">
      <w:start w:val="1"/>
      <w:numFmt w:val="bullet"/>
      <w:lvlText w:val="•"/>
      <w:lvlJc w:val="left"/>
      <w:pPr>
        <w:ind w:left="10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D0A8446">
      <w:start w:val="1"/>
      <w:numFmt w:val="bullet"/>
      <w:lvlText w:val="o"/>
      <w:lvlJc w:val="left"/>
      <w:pPr>
        <w:ind w:left="175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E53CAAE4">
      <w:start w:val="1"/>
      <w:numFmt w:val="bullet"/>
      <w:lvlText w:val="▪"/>
      <w:lvlJc w:val="left"/>
      <w:pPr>
        <w:ind w:left="247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7968155A">
      <w:start w:val="1"/>
      <w:numFmt w:val="bullet"/>
      <w:lvlText w:val="•"/>
      <w:lvlJc w:val="left"/>
      <w:pPr>
        <w:ind w:left="319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0E0F2D2">
      <w:start w:val="1"/>
      <w:numFmt w:val="bullet"/>
      <w:lvlText w:val="o"/>
      <w:lvlJc w:val="left"/>
      <w:pPr>
        <w:ind w:left="391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26725662">
      <w:start w:val="1"/>
      <w:numFmt w:val="bullet"/>
      <w:lvlText w:val="▪"/>
      <w:lvlJc w:val="left"/>
      <w:pPr>
        <w:ind w:left="463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47D664F6">
      <w:start w:val="1"/>
      <w:numFmt w:val="bullet"/>
      <w:lvlText w:val="•"/>
      <w:lvlJc w:val="left"/>
      <w:pPr>
        <w:ind w:left="535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0A036D6">
      <w:start w:val="1"/>
      <w:numFmt w:val="bullet"/>
      <w:lvlText w:val="o"/>
      <w:lvlJc w:val="left"/>
      <w:pPr>
        <w:ind w:left="607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65AB00C">
      <w:start w:val="1"/>
      <w:numFmt w:val="bullet"/>
      <w:lvlText w:val="▪"/>
      <w:lvlJc w:val="left"/>
      <w:pPr>
        <w:ind w:left="679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39C7529F"/>
    <w:multiLevelType w:val="hybridMultilevel"/>
    <w:tmpl w:val="AE4053BE"/>
    <w:lvl w:ilvl="0" w:tplc="D8168198">
      <w:start w:val="1"/>
      <w:numFmt w:val="bullet"/>
      <w:lvlText w:val="•"/>
      <w:lvlJc w:val="left"/>
      <w:pPr>
        <w:ind w:left="475"/>
      </w:pPr>
      <w:rPr>
        <w:rFonts w:ascii="Arial" w:eastAsia="Arial" w:hAnsi="Arial" w:cs="Arial" w:hint="default"/>
        <w:b w:val="0"/>
        <w:i w:val="0"/>
        <w:strike w:val="0"/>
        <w:dstrike w:val="0"/>
        <w:color w:val="000000"/>
        <w:sz w:val="19"/>
        <w:szCs w:val="19"/>
        <w:u w:val="none" w:color="000000"/>
        <w:bdr w:val="none" w:sz="0" w:space="0" w:color="auto"/>
        <w:shd w:val="clear" w:color="auto" w:fill="auto"/>
        <w:vertAlign w:val="baseline"/>
      </w:rPr>
    </w:lvl>
    <w:lvl w:ilvl="1" w:tplc="E0943428">
      <w:start w:val="1"/>
      <w:numFmt w:val="bullet"/>
      <w:lvlText w:val="o"/>
      <w:lvlJc w:val="left"/>
      <w:pPr>
        <w:ind w:left="123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F90A684">
      <w:start w:val="1"/>
      <w:numFmt w:val="bullet"/>
      <w:lvlText w:val="▪"/>
      <w:lvlJc w:val="left"/>
      <w:pPr>
        <w:ind w:left="195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AF8C1272">
      <w:start w:val="1"/>
      <w:numFmt w:val="bullet"/>
      <w:lvlText w:val="•"/>
      <w:lvlJc w:val="left"/>
      <w:pPr>
        <w:ind w:left="267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5D4ABF4">
      <w:start w:val="1"/>
      <w:numFmt w:val="bullet"/>
      <w:lvlText w:val="o"/>
      <w:lvlJc w:val="left"/>
      <w:pPr>
        <w:ind w:left="339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54968BC8">
      <w:start w:val="1"/>
      <w:numFmt w:val="bullet"/>
      <w:lvlText w:val="▪"/>
      <w:lvlJc w:val="left"/>
      <w:pPr>
        <w:ind w:left="411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F4ACF5C">
      <w:start w:val="1"/>
      <w:numFmt w:val="bullet"/>
      <w:lvlText w:val="•"/>
      <w:lvlJc w:val="left"/>
      <w:pPr>
        <w:ind w:left="483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1040878">
      <w:start w:val="1"/>
      <w:numFmt w:val="bullet"/>
      <w:lvlText w:val="o"/>
      <w:lvlJc w:val="left"/>
      <w:pPr>
        <w:ind w:left="555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A98543E">
      <w:start w:val="1"/>
      <w:numFmt w:val="bullet"/>
      <w:lvlText w:val="▪"/>
      <w:lvlJc w:val="left"/>
      <w:pPr>
        <w:ind w:left="627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68332A30"/>
    <w:multiLevelType w:val="hybridMultilevel"/>
    <w:tmpl w:val="6466FE50"/>
    <w:lvl w:ilvl="0" w:tplc="2C960112">
      <w:start w:val="1"/>
      <w:numFmt w:val="bullet"/>
      <w:lvlText w:val=""/>
      <w:lvlJc w:val="left"/>
      <w:pPr>
        <w:ind w:left="475"/>
      </w:pPr>
      <w:rPr>
        <w:rFonts w:ascii="Symbol" w:hAnsi="Symbol" w:hint="default"/>
        <w:b w:val="0"/>
        <w:i w:val="0"/>
        <w:strike w:val="0"/>
        <w:dstrike w:val="0"/>
        <w:color w:val="31B6AF"/>
        <w:sz w:val="19"/>
        <w:szCs w:val="19"/>
        <w:u w:val="none" w:color="000000"/>
        <w:bdr w:val="none" w:sz="0" w:space="0" w:color="auto"/>
        <w:shd w:val="clear" w:color="auto" w:fill="auto"/>
        <w:vertAlign w:val="baseline"/>
      </w:rPr>
    </w:lvl>
    <w:lvl w:ilvl="1" w:tplc="E0943428">
      <w:start w:val="1"/>
      <w:numFmt w:val="bullet"/>
      <w:lvlText w:val="o"/>
      <w:lvlJc w:val="left"/>
      <w:pPr>
        <w:ind w:left="123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F90A684">
      <w:start w:val="1"/>
      <w:numFmt w:val="bullet"/>
      <w:lvlText w:val="▪"/>
      <w:lvlJc w:val="left"/>
      <w:pPr>
        <w:ind w:left="195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AF8C1272">
      <w:start w:val="1"/>
      <w:numFmt w:val="bullet"/>
      <w:lvlText w:val="•"/>
      <w:lvlJc w:val="left"/>
      <w:pPr>
        <w:ind w:left="267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5D4ABF4">
      <w:start w:val="1"/>
      <w:numFmt w:val="bullet"/>
      <w:lvlText w:val="o"/>
      <w:lvlJc w:val="left"/>
      <w:pPr>
        <w:ind w:left="339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54968BC8">
      <w:start w:val="1"/>
      <w:numFmt w:val="bullet"/>
      <w:lvlText w:val="▪"/>
      <w:lvlJc w:val="left"/>
      <w:pPr>
        <w:ind w:left="411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F4ACF5C">
      <w:start w:val="1"/>
      <w:numFmt w:val="bullet"/>
      <w:lvlText w:val="•"/>
      <w:lvlJc w:val="left"/>
      <w:pPr>
        <w:ind w:left="483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1040878">
      <w:start w:val="1"/>
      <w:numFmt w:val="bullet"/>
      <w:lvlText w:val="o"/>
      <w:lvlJc w:val="left"/>
      <w:pPr>
        <w:ind w:left="555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A98543E">
      <w:start w:val="1"/>
      <w:numFmt w:val="bullet"/>
      <w:lvlText w:val="▪"/>
      <w:lvlJc w:val="left"/>
      <w:pPr>
        <w:ind w:left="627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77D1621B"/>
    <w:multiLevelType w:val="hybridMultilevel"/>
    <w:tmpl w:val="D85274D4"/>
    <w:lvl w:ilvl="0" w:tplc="D8168198">
      <w:start w:val="1"/>
      <w:numFmt w:val="bullet"/>
      <w:lvlText w:val="•"/>
      <w:lvlJc w:val="left"/>
      <w:pPr>
        <w:ind w:left="1036"/>
      </w:pPr>
      <w:rPr>
        <w:rFonts w:ascii="Arial" w:eastAsia="Arial" w:hAnsi="Arial" w:cs="Arial" w:hint="default"/>
        <w:b w:val="0"/>
        <w:i w:val="0"/>
        <w:strike w:val="0"/>
        <w:dstrike w:val="0"/>
        <w:color w:val="000000"/>
        <w:sz w:val="19"/>
        <w:szCs w:val="19"/>
        <w:u w:val="none" w:color="000000"/>
        <w:bdr w:val="none" w:sz="0" w:space="0" w:color="auto"/>
        <w:shd w:val="clear" w:color="auto" w:fill="auto"/>
        <w:vertAlign w:val="baseline"/>
      </w:rPr>
    </w:lvl>
    <w:lvl w:ilvl="1" w:tplc="DD0A8446">
      <w:start w:val="1"/>
      <w:numFmt w:val="bullet"/>
      <w:lvlText w:val="o"/>
      <w:lvlJc w:val="left"/>
      <w:pPr>
        <w:ind w:left="175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E53CAAE4">
      <w:start w:val="1"/>
      <w:numFmt w:val="bullet"/>
      <w:lvlText w:val="▪"/>
      <w:lvlJc w:val="left"/>
      <w:pPr>
        <w:ind w:left="247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7968155A">
      <w:start w:val="1"/>
      <w:numFmt w:val="bullet"/>
      <w:lvlText w:val="•"/>
      <w:lvlJc w:val="left"/>
      <w:pPr>
        <w:ind w:left="319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0E0F2D2">
      <w:start w:val="1"/>
      <w:numFmt w:val="bullet"/>
      <w:lvlText w:val="o"/>
      <w:lvlJc w:val="left"/>
      <w:pPr>
        <w:ind w:left="391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26725662">
      <w:start w:val="1"/>
      <w:numFmt w:val="bullet"/>
      <w:lvlText w:val="▪"/>
      <w:lvlJc w:val="left"/>
      <w:pPr>
        <w:ind w:left="463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47D664F6">
      <w:start w:val="1"/>
      <w:numFmt w:val="bullet"/>
      <w:lvlText w:val="•"/>
      <w:lvlJc w:val="left"/>
      <w:pPr>
        <w:ind w:left="535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0A036D6">
      <w:start w:val="1"/>
      <w:numFmt w:val="bullet"/>
      <w:lvlText w:val="o"/>
      <w:lvlJc w:val="left"/>
      <w:pPr>
        <w:ind w:left="607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65AB00C">
      <w:start w:val="1"/>
      <w:numFmt w:val="bullet"/>
      <w:lvlText w:val="▪"/>
      <w:lvlJc w:val="left"/>
      <w:pPr>
        <w:ind w:left="679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79AD26BF"/>
    <w:multiLevelType w:val="hybridMultilevel"/>
    <w:tmpl w:val="2556AB8E"/>
    <w:lvl w:ilvl="0" w:tplc="070E0056">
      <w:start w:val="1"/>
      <w:numFmt w:val="decimal"/>
      <w:lvlText w:val="%1"/>
      <w:lvlJc w:val="left"/>
      <w:pPr>
        <w:ind w:left="721" w:hanging="570"/>
      </w:pPr>
      <w:rPr>
        <w:rFonts w:hint="default"/>
        <w:color w:val="39A09F"/>
      </w:rPr>
    </w:lvl>
    <w:lvl w:ilvl="1" w:tplc="08090019" w:tentative="1">
      <w:start w:val="1"/>
      <w:numFmt w:val="lowerLetter"/>
      <w:lvlText w:val="%2."/>
      <w:lvlJc w:val="left"/>
      <w:pPr>
        <w:ind w:left="1231" w:hanging="360"/>
      </w:pPr>
    </w:lvl>
    <w:lvl w:ilvl="2" w:tplc="0809001B" w:tentative="1">
      <w:start w:val="1"/>
      <w:numFmt w:val="lowerRoman"/>
      <w:lvlText w:val="%3."/>
      <w:lvlJc w:val="right"/>
      <w:pPr>
        <w:ind w:left="1951" w:hanging="180"/>
      </w:pPr>
    </w:lvl>
    <w:lvl w:ilvl="3" w:tplc="0809000F" w:tentative="1">
      <w:start w:val="1"/>
      <w:numFmt w:val="decimal"/>
      <w:lvlText w:val="%4."/>
      <w:lvlJc w:val="left"/>
      <w:pPr>
        <w:ind w:left="2671" w:hanging="360"/>
      </w:pPr>
    </w:lvl>
    <w:lvl w:ilvl="4" w:tplc="08090019" w:tentative="1">
      <w:start w:val="1"/>
      <w:numFmt w:val="lowerLetter"/>
      <w:lvlText w:val="%5."/>
      <w:lvlJc w:val="left"/>
      <w:pPr>
        <w:ind w:left="3391" w:hanging="360"/>
      </w:pPr>
    </w:lvl>
    <w:lvl w:ilvl="5" w:tplc="0809001B" w:tentative="1">
      <w:start w:val="1"/>
      <w:numFmt w:val="lowerRoman"/>
      <w:lvlText w:val="%6."/>
      <w:lvlJc w:val="right"/>
      <w:pPr>
        <w:ind w:left="4111" w:hanging="180"/>
      </w:pPr>
    </w:lvl>
    <w:lvl w:ilvl="6" w:tplc="0809000F" w:tentative="1">
      <w:start w:val="1"/>
      <w:numFmt w:val="decimal"/>
      <w:lvlText w:val="%7."/>
      <w:lvlJc w:val="left"/>
      <w:pPr>
        <w:ind w:left="4831" w:hanging="360"/>
      </w:pPr>
    </w:lvl>
    <w:lvl w:ilvl="7" w:tplc="08090019" w:tentative="1">
      <w:start w:val="1"/>
      <w:numFmt w:val="lowerLetter"/>
      <w:lvlText w:val="%8."/>
      <w:lvlJc w:val="left"/>
      <w:pPr>
        <w:ind w:left="5551" w:hanging="360"/>
      </w:pPr>
    </w:lvl>
    <w:lvl w:ilvl="8" w:tplc="0809001B" w:tentative="1">
      <w:start w:val="1"/>
      <w:numFmt w:val="lowerRoman"/>
      <w:lvlText w:val="%9."/>
      <w:lvlJc w:val="right"/>
      <w:pPr>
        <w:ind w:left="6271" w:hanging="180"/>
      </w:pPr>
    </w:lvl>
  </w:abstractNum>
  <w:num w:numId="1">
    <w:abstractNumId w:val="0"/>
  </w:num>
  <w:num w:numId="2">
    <w:abstractNumId w:val="3"/>
  </w:num>
  <w:num w:numId="3">
    <w:abstractNumId w:val="5"/>
  </w:num>
  <w:num w:numId="4">
    <w:abstractNumId w:val="7"/>
  </w:num>
  <w:num w:numId="5">
    <w:abstractNumId w:val="2"/>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D84"/>
    <w:rsid w:val="004004D3"/>
    <w:rsid w:val="004232D5"/>
    <w:rsid w:val="00570B02"/>
    <w:rsid w:val="00D05D84"/>
    <w:rsid w:val="00E3284A"/>
    <w:rsid w:val="00E515E8"/>
    <w:rsid w:val="00F47E8A"/>
    <w:rsid w:val="00F77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71ED24"/>
  <w15:docId w15:val="{11AD1475-92B3-4AB0-B7B7-A8C20DDF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9" w:lineRule="auto"/>
      <w:ind w:left="161" w:hanging="10"/>
      <w:jc w:val="both"/>
    </w:pPr>
    <w:rPr>
      <w:rFonts w:ascii="Arial" w:eastAsia="Arial" w:hAnsi="Arial" w:cs="Arial"/>
      <w:color w:val="000000"/>
      <w:sz w:val="19"/>
    </w:rPr>
  </w:style>
  <w:style w:type="paragraph" w:styleId="Heading1">
    <w:name w:val="heading 1"/>
    <w:next w:val="Normal"/>
    <w:link w:val="Heading1Char"/>
    <w:uiPriority w:val="9"/>
    <w:qFormat/>
    <w:pPr>
      <w:keepNext/>
      <w:keepLines/>
      <w:spacing w:after="0"/>
      <w:ind w:left="151"/>
      <w:outlineLvl w:val="0"/>
    </w:pPr>
    <w:rPr>
      <w:rFonts w:ascii="Arial" w:eastAsia="Arial" w:hAnsi="Arial" w:cs="Arial"/>
      <w:color w:val="39A09F"/>
      <w:sz w:val="30"/>
    </w:rPr>
  </w:style>
  <w:style w:type="paragraph" w:styleId="Heading2">
    <w:name w:val="heading 2"/>
    <w:next w:val="Normal"/>
    <w:link w:val="Heading2Char"/>
    <w:uiPriority w:val="9"/>
    <w:unhideWhenUsed/>
    <w:qFormat/>
    <w:pPr>
      <w:keepNext/>
      <w:keepLines/>
      <w:spacing w:after="0"/>
      <w:ind w:left="161" w:hanging="10"/>
      <w:outlineLvl w:val="1"/>
    </w:pPr>
    <w:rPr>
      <w:rFonts w:ascii="Arial" w:eastAsia="Arial" w:hAnsi="Arial" w:cs="Arial"/>
      <w:b/>
      <w:color w:val="39A09F"/>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39A09F"/>
      <w:sz w:val="19"/>
    </w:rPr>
  </w:style>
  <w:style w:type="character" w:customStyle="1" w:styleId="Heading1Char">
    <w:name w:val="Heading 1 Char"/>
    <w:link w:val="Heading1"/>
    <w:rPr>
      <w:rFonts w:ascii="Arial" w:eastAsia="Arial" w:hAnsi="Arial" w:cs="Arial"/>
      <w:color w:val="39A09F"/>
      <w:sz w:val="30"/>
    </w:rPr>
  </w:style>
  <w:style w:type="paragraph" w:styleId="BalloonText">
    <w:name w:val="Balloon Text"/>
    <w:basedOn w:val="Normal"/>
    <w:link w:val="BalloonTextChar"/>
    <w:uiPriority w:val="99"/>
    <w:semiHidden/>
    <w:unhideWhenUsed/>
    <w:rsid w:val="00E51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5E8"/>
    <w:rPr>
      <w:rFonts w:ascii="Segoe UI" w:eastAsia="Arial" w:hAnsi="Segoe UI" w:cs="Segoe UI"/>
      <w:color w:val="000000"/>
      <w:sz w:val="18"/>
      <w:szCs w:val="18"/>
    </w:rPr>
  </w:style>
  <w:style w:type="paragraph" w:styleId="Header">
    <w:name w:val="header"/>
    <w:basedOn w:val="Normal"/>
    <w:link w:val="HeaderChar"/>
    <w:uiPriority w:val="99"/>
    <w:unhideWhenUsed/>
    <w:rsid w:val="0042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2D5"/>
    <w:rPr>
      <w:rFonts w:ascii="Arial" w:eastAsia="Arial" w:hAnsi="Arial" w:cs="Arial"/>
      <w:color w:val="000000"/>
      <w:sz w:val="19"/>
    </w:rPr>
  </w:style>
  <w:style w:type="paragraph" w:styleId="Footer">
    <w:name w:val="footer"/>
    <w:basedOn w:val="Normal"/>
    <w:link w:val="FooterChar"/>
    <w:uiPriority w:val="99"/>
    <w:unhideWhenUsed/>
    <w:rsid w:val="0042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2D5"/>
    <w:rPr>
      <w:rFonts w:ascii="Arial" w:eastAsia="Arial" w:hAnsi="Arial" w:cs="Arial"/>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1737">
      <w:bodyDiv w:val="1"/>
      <w:marLeft w:val="0"/>
      <w:marRight w:val="0"/>
      <w:marTop w:val="0"/>
      <w:marBottom w:val="0"/>
      <w:divBdr>
        <w:top w:val="none" w:sz="0" w:space="0" w:color="auto"/>
        <w:left w:val="none" w:sz="0" w:space="0" w:color="auto"/>
        <w:bottom w:val="none" w:sz="0" w:space="0" w:color="auto"/>
        <w:right w:val="none" w:sz="0" w:space="0" w:color="auto"/>
      </w:divBdr>
    </w:div>
    <w:div w:id="1609893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Microsoft Word - LMW Risk Management Policy 19Jul19 FINAL.docx</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LMW Risk Management Policy 19Jul19 FINAL.docx</dc:title>
  <dc:subject/>
  <dc:creator>TOCallaghan</dc:creator>
  <cp:keywords/>
  <cp:lastModifiedBy>Trish O'Callaghan</cp:lastModifiedBy>
  <cp:revision>3</cp:revision>
  <dcterms:created xsi:type="dcterms:W3CDTF">2019-11-20T05:50:00Z</dcterms:created>
  <dcterms:modified xsi:type="dcterms:W3CDTF">2019-12-05T05:34:00Z</dcterms:modified>
</cp:coreProperties>
</file>